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Pr="00255180" w:rsidRDefault="006E6CD4" w:rsidP="00255180">
      <w:pPr>
        <w:pStyle w:val="Docketnumber"/>
        <w:spacing w:after="360"/>
      </w:pPr>
      <w:bookmarkStart w:id="0" w:name="_GoBack"/>
      <w:bookmarkEnd w:id="0"/>
      <w:r w:rsidRPr="00255180">
        <w:t xml:space="preserve">DOCKET NO. </w:t>
      </w:r>
      <w:r w:rsidR="00836B3A" w:rsidRPr="00255180">
        <w:t>48038</w:t>
      </w:r>
    </w:p>
    <w:tbl>
      <w:tblPr>
        <w:tblStyle w:val="TableGrid"/>
        <w:tblW w:w="9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381"/>
        <w:gridCol w:w="4379"/>
      </w:tblGrid>
      <w:tr w:rsidR="00297EBA" w:rsidRPr="00255180" w:rsidTr="00735911">
        <w:trPr>
          <w:trHeight w:val="708"/>
        </w:trPr>
        <w:tc>
          <w:tcPr>
            <w:tcW w:w="4590" w:type="dxa"/>
          </w:tcPr>
          <w:p w:rsidR="006E6CD4" w:rsidRDefault="0065380A" w:rsidP="00255180">
            <w:pPr>
              <w:rPr>
                <w:b/>
                <w:caps/>
                <w:color w:val="000000" w:themeColor="text1"/>
              </w:rPr>
            </w:pPr>
            <w:r w:rsidRPr="0065380A">
              <w:rPr>
                <w:b/>
                <w:caps/>
                <w:color w:val="000000" w:themeColor="text1"/>
              </w:rPr>
              <w:t xml:space="preserve">AGREED SETTLEMENT AND REPORT TO COMMISSION RELATING TO COMMISSION STAFF'S INVESTIGATION OF HUNT CLUB APARTMENTS REGARDING </w:t>
            </w:r>
            <w:r w:rsidR="006F4297">
              <w:rPr>
                <w:b/>
                <w:caps/>
                <w:color w:val="000000" w:themeColor="text1"/>
              </w:rPr>
              <w:t xml:space="preserve">  </w:t>
            </w:r>
            <w:r w:rsidRPr="0065380A">
              <w:rPr>
                <w:b/>
                <w:caps/>
                <w:color w:val="000000" w:themeColor="text1"/>
              </w:rPr>
              <w:t xml:space="preserve">16 TAC §§ 24.122, </w:t>
            </w:r>
            <w:r w:rsidR="00A253A6">
              <w:rPr>
                <w:b/>
                <w:caps/>
                <w:color w:val="000000" w:themeColor="text1"/>
              </w:rPr>
              <w:t xml:space="preserve">  </w:t>
            </w:r>
            <w:r w:rsidRPr="0065380A">
              <w:rPr>
                <w:b/>
                <w:caps/>
                <w:color w:val="000000" w:themeColor="text1"/>
              </w:rPr>
              <w:t>24.124, AND 24.125</w:t>
            </w:r>
          </w:p>
          <w:p w:rsidR="00C71462" w:rsidRPr="00255180" w:rsidRDefault="00C71462" w:rsidP="00255180">
            <w:pPr>
              <w:rPr>
                <w:b/>
                <w:caps/>
                <w:color w:val="000000" w:themeColor="text1"/>
              </w:rPr>
            </w:pPr>
          </w:p>
        </w:tc>
        <w:tc>
          <w:tcPr>
            <w:tcW w:w="381" w:type="dxa"/>
          </w:tcPr>
          <w:p w:rsidR="00297EBA" w:rsidRPr="00255180" w:rsidRDefault="00297EBA" w:rsidP="00255180">
            <w:pPr>
              <w:ind w:hanging="327"/>
              <w:jc w:val="right"/>
              <w:rPr>
                <w:b/>
                <w:color w:val="000000" w:themeColor="text1"/>
              </w:rPr>
            </w:pPr>
            <w:r w:rsidRPr="00255180">
              <w:rPr>
                <w:b/>
                <w:color w:val="000000" w:themeColor="text1"/>
              </w:rPr>
              <w:t>§</w:t>
            </w:r>
          </w:p>
          <w:p w:rsidR="00297EBA" w:rsidRPr="00255180" w:rsidRDefault="00297EBA" w:rsidP="00255180">
            <w:pPr>
              <w:jc w:val="right"/>
              <w:rPr>
                <w:b/>
                <w:color w:val="000000" w:themeColor="text1"/>
              </w:rPr>
            </w:pPr>
            <w:r w:rsidRPr="00255180">
              <w:rPr>
                <w:b/>
                <w:color w:val="000000" w:themeColor="text1"/>
              </w:rPr>
              <w:t>§</w:t>
            </w:r>
          </w:p>
          <w:p w:rsidR="00904783" w:rsidRPr="00255180" w:rsidRDefault="00297EBA" w:rsidP="00255180">
            <w:pPr>
              <w:jc w:val="right"/>
              <w:rPr>
                <w:b/>
                <w:color w:val="000000" w:themeColor="text1"/>
              </w:rPr>
            </w:pPr>
            <w:r w:rsidRPr="00255180">
              <w:rPr>
                <w:b/>
                <w:color w:val="000000" w:themeColor="text1"/>
              </w:rPr>
              <w:t>§</w:t>
            </w:r>
          </w:p>
          <w:p w:rsidR="00A0039C" w:rsidRPr="00255180" w:rsidRDefault="00A0039C" w:rsidP="00255180">
            <w:pPr>
              <w:jc w:val="right"/>
              <w:rPr>
                <w:b/>
                <w:color w:val="000000" w:themeColor="text1"/>
              </w:rPr>
            </w:pPr>
            <w:r w:rsidRPr="00255180">
              <w:rPr>
                <w:b/>
                <w:color w:val="000000" w:themeColor="text1"/>
              </w:rPr>
              <w:t>§</w:t>
            </w:r>
          </w:p>
          <w:p w:rsidR="005C6856" w:rsidRPr="00255180" w:rsidRDefault="005C6856" w:rsidP="00255180">
            <w:pPr>
              <w:jc w:val="right"/>
              <w:rPr>
                <w:b/>
                <w:color w:val="000000" w:themeColor="text1"/>
              </w:rPr>
            </w:pPr>
            <w:r w:rsidRPr="00255180">
              <w:rPr>
                <w:b/>
                <w:color w:val="000000" w:themeColor="text1"/>
              </w:rPr>
              <w:t>§</w:t>
            </w:r>
          </w:p>
          <w:p w:rsidR="00A253A6" w:rsidRPr="00255180" w:rsidRDefault="005C6856" w:rsidP="00735911">
            <w:pPr>
              <w:jc w:val="right"/>
              <w:rPr>
                <w:b/>
                <w:color w:val="000000" w:themeColor="text1"/>
              </w:rPr>
            </w:pPr>
            <w:r w:rsidRPr="00255180">
              <w:rPr>
                <w:b/>
                <w:color w:val="000000" w:themeColor="text1"/>
              </w:rPr>
              <w:t>§</w:t>
            </w:r>
          </w:p>
        </w:tc>
        <w:tc>
          <w:tcPr>
            <w:tcW w:w="4379" w:type="dxa"/>
          </w:tcPr>
          <w:p w:rsidR="00297EBA" w:rsidRPr="00255180" w:rsidRDefault="00297EBA" w:rsidP="00255180">
            <w:pPr>
              <w:tabs>
                <w:tab w:val="left" w:pos="4158"/>
              </w:tabs>
              <w:jc w:val="center"/>
              <w:rPr>
                <w:b/>
                <w:color w:val="000000" w:themeColor="text1"/>
              </w:rPr>
            </w:pPr>
            <w:r w:rsidRPr="00255180">
              <w:rPr>
                <w:b/>
                <w:color w:val="000000" w:themeColor="text1"/>
              </w:rPr>
              <w:t>PUBLIC UTILITY COMMISSION</w:t>
            </w:r>
          </w:p>
          <w:p w:rsidR="00297EBA" w:rsidRPr="00255180" w:rsidRDefault="00297EBA" w:rsidP="00255180">
            <w:pPr>
              <w:jc w:val="center"/>
              <w:rPr>
                <w:b/>
                <w:color w:val="000000" w:themeColor="text1"/>
              </w:rPr>
            </w:pPr>
          </w:p>
          <w:p w:rsidR="00297EBA" w:rsidRPr="00255180" w:rsidRDefault="00297EBA" w:rsidP="00255180">
            <w:pPr>
              <w:jc w:val="center"/>
              <w:rPr>
                <w:b/>
                <w:color w:val="000000" w:themeColor="text1"/>
              </w:rPr>
            </w:pPr>
            <w:r w:rsidRPr="00255180">
              <w:rPr>
                <w:b/>
                <w:color w:val="000000" w:themeColor="text1"/>
              </w:rPr>
              <w:t>OF TEXAS</w:t>
            </w:r>
          </w:p>
        </w:tc>
      </w:tr>
    </w:tbl>
    <w:p w:rsidR="007572FC" w:rsidRPr="00255180" w:rsidRDefault="00297EBA" w:rsidP="00735911">
      <w:pPr>
        <w:pStyle w:val="Titleoforder"/>
        <w:spacing w:before="240" w:after="240"/>
      </w:pPr>
      <w:r w:rsidRPr="00255180">
        <w:t>PROPOSED ORDER</w:t>
      </w:r>
    </w:p>
    <w:p w:rsidR="006B638A" w:rsidRPr="00255180" w:rsidRDefault="006B638A" w:rsidP="00255180">
      <w:pPr>
        <w:pStyle w:val="BodyText"/>
      </w:pPr>
      <w:r w:rsidRPr="00255180">
        <w:t xml:space="preserve">This Order approves the settlement agreement and report to Commission between Commission Staff and </w:t>
      </w:r>
      <w:r w:rsidR="005C6856" w:rsidRPr="00255180">
        <w:t>Hunt Club Apartments</w:t>
      </w:r>
      <w:r w:rsidR="00B201C5" w:rsidRPr="00255180">
        <w:t xml:space="preserve"> </w:t>
      </w:r>
      <w:r w:rsidRPr="00255180">
        <w:t xml:space="preserve">regarding Commission Staff’s investigation of </w:t>
      </w:r>
      <w:r w:rsidR="005C6856" w:rsidRPr="00255180">
        <w:t>Hunt Club</w:t>
      </w:r>
      <w:r w:rsidRPr="00255180">
        <w:t xml:space="preserve"> for violation of </w:t>
      </w:r>
      <w:r w:rsidR="006D5144" w:rsidRPr="00255180">
        <w:t>16</w:t>
      </w:r>
      <w:r w:rsidRPr="00255180">
        <w:t xml:space="preserve"> Texas Administrative Code </w:t>
      </w:r>
      <w:r w:rsidR="00B201C5" w:rsidRPr="00255180">
        <w:t>(TAC) §</w:t>
      </w:r>
      <w:r w:rsidR="005C6856" w:rsidRPr="00255180">
        <w:rPr>
          <w:color w:val="000000" w:themeColor="text1"/>
        </w:rPr>
        <w:t>§</w:t>
      </w:r>
      <w:r w:rsidR="00B201C5" w:rsidRPr="00255180">
        <w:t xml:space="preserve"> </w:t>
      </w:r>
      <w:r w:rsidR="005C6856" w:rsidRPr="00255180">
        <w:t>24.122(a), related to registration, 24.124(a), related to prohibited charges, 24.124(c), related to customer service charge, 24.124(e)(1)(A), related to customer service charge deduction, 24.124(e)(3), related to move-ins and move-outs, 24.125(i), related to estimated bill, and 24.125(k), related to overbilling and underbilling.</w:t>
      </w:r>
      <w:r w:rsidR="0026177C" w:rsidRPr="00255180">
        <w:rPr>
          <w:color w:val="000000" w:themeColor="text1"/>
        </w:rPr>
        <w:t xml:space="preserve">  </w:t>
      </w:r>
      <w:r w:rsidRPr="00255180">
        <w:t xml:space="preserve">The agreement resolves all of the issues between the parties to this proceeding.  Commission Staff </w:t>
      </w:r>
      <w:r w:rsidR="005E449A" w:rsidRPr="00255180">
        <w:t xml:space="preserve">recommended a refund to tenants totaling $35,642.27 for overcharges due to </w:t>
      </w:r>
      <w:r w:rsidR="00F136EE" w:rsidRPr="00255180">
        <w:t>Hunt Club’</w:t>
      </w:r>
      <w:r w:rsidR="0026177C" w:rsidRPr="00255180">
        <w:t xml:space="preserve">s billing violations.  </w:t>
      </w:r>
      <w:r w:rsidR="005E449A" w:rsidRPr="00255180">
        <w:t xml:space="preserve">Hunt Club agreed to pay the recommended refund amount. </w:t>
      </w:r>
      <w:r w:rsidR="00F136EE" w:rsidRPr="00255180">
        <w:t xml:space="preserve"> </w:t>
      </w:r>
      <w:r w:rsidR="005E449A" w:rsidRPr="00255180">
        <w:t>The agreement is approved.</w:t>
      </w:r>
    </w:p>
    <w:p w:rsidR="006B638A" w:rsidRPr="00255180" w:rsidRDefault="006B638A" w:rsidP="00255180">
      <w:pPr>
        <w:pStyle w:val="BodyText"/>
      </w:pPr>
      <w:r w:rsidRPr="00255180">
        <w:t>The Commission adopts the following findings of fact and conclusions of law:</w:t>
      </w:r>
    </w:p>
    <w:p w:rsidR="008D1724" w:rsidRDefault="00EE5DDA" w:rsidP="00255180">
      <w:pPr>
        <w:pStyle w:val="Heading1"/>
        <w:rPr>
          <w:rFonts w:cs="Times New Roman"/>
          <w:szCs w:val="24"/>
        </w:rPr>
      </w:pPr>
      <w:r w:rsidRPr="00255180">
        <w:rPr>
          <w:rFonts w:cs="Times New Roman"/>
          <w:szCs w:val="24"/>
        </w:rPr>
        <w:t>Findings of Fact</w:t>
      </w:r>
    </w:p>
    <w:p w:rsidR="00237556" w:rsidRDefault="00237556" w:rsidP="00237556">
      <w:pPr>
        <w:pStyle w:val="BodyText"/>
        <w:ind w:firstLine="0"/>
        <w:rPr>
          <w:b/>
          <w:i/>
          <w:u w:val="single"/>
        </w:rPr>
      </w:pPr>
      <w:r w:rsidRPr="00237556">
        <w:rPr>
          <w:b/>
          <w:i/>
          <w:u w:val="single"/>
        </w:rPr>
        <w:t>Procedural History</w:t>
      </w:r>
    </w:p>
    <w:p w:rsidR="00237556" w:rsidRDefault="00237556" w:rsidP="00255180">
      <w:pPr>
        <w:pStyle w:val="FOFNumbered"/>
      </w:pPr>
      <w:r>
        <w:t xml:space="preserve">On February 8, 2018, Commission Staff </w:t>
      </w:r>
      <w:r w:rsidR="00C71462">
        <w:t xml:space="preserve">and Hunt Club </w:t>
      </w:r>
      <w:r>
        <w:t xml:space="preserve">filed an application for approval of </w:t>
      </w:r>
      <w:r w:rsidR="00C71462">
        <w:t xml:space="preserve">a </w:t>
      </w:r>
      <w:r>
        <w:t>settlement agreement</w:t>
      </w:r>
      <w:r w:rsidR="00626ABE">
        <w:t xml:space="preserve"> which recommended a refund to tenants totaling $35,642.27.</w:t>
      </w:r>
    </w:p>
    <w:p w:rsidR="00237556" w:rsidRDefault="00237556" w:rsidP="00255180">
      <w:pPr>
        <w:pStyle w:val="FOFNumbered"/>
      </w:pPr>
      <w:r>
        <w:t>On February 15, 2018, Order No. 1 was issued requesting Commission Staff’s response further identifying the dollar amounts used to arrive at the total refund amount.</w:t>
      </w:r>
    </w:p>
    <w:p w:rsidR="00237556" w:rsidRDefault="00C71462" w:rsidP="00255180">
      <w:pPr>
        <w:pStyle w:val="FOFNumbered"/>
      </w:pPr>
      <w:r>
        <w:t>On February 23, 2018, Commission Staff filed an amended proposed order in response to Order No. 1.  Hunt Club and Hocutt support the filing.</w:t>
      </w:r>
    </w:p>
    <w:p w:rsidR="00C71462" w:rsidRDefault="00C71462">
      <w:pPr>
        <w:spacing w:after="160" w:line="259" w:lineRule="auto"/>
        <w:rPr>
          <w:rFonts w:eastAsia="Times New Roman"/>
          <w:b/>
          <w:i/>
          <w:snapToGrid w:val="0"/>
          <w:szCs w:val="20"/>
          <w:u w:val="single"/>
        </w:rPr>
      </w:pPr>
      <w:r>
        <w:rPr>
          <w:b/>
          <w:i/>
          <w:u w:val="single"/>
        </w:rPr>
        <w:br w:type="page"/>
      </w:r>
    </w:p>
    <w:p w:rsidR="00237556" w:rsidRDefault="00C71462" w:rsidP="00C71462">
      <w:pPr>
        <w:pStyle w:val="FOFNumbered"/>
        <w:numPr>
          <w:ilvl w:val="0"/>
          <w:numId w:val="0"/>
        </w:numPr>
        <w:rPr>
          <w:b/>
          <w:i/>
          <w:u w:val="single"/>
        </w:rPr>
      </w:pPr>
      <w:r w:rsidRPr="00C71462">
        <w:rPr>
          <w:b/>
          <w:i/>
          <w:u w:val="single"/>
        </w:rPr>
        <w:lastRenderedPageBreak/>
        <w:t>Investigation &amp; Agreement</w:t>
      </w:r>
    </w:p>
    <w:p w:rsidR="005E449A" w:rsidRDefault="005E449A" w:rsidP="00255180">
      <w:pPr>
        <w:pStyle w:val="FOFNumbered"/>
      </w:pPr>
      <w:r w:rsidRPr="00255180">
        <w:t xml:space="preserve">Commission Staff opened an investigation into Hunt Club after receiving a customer </w:t>
      </w:r>
      <w:r w:rsidR="00C71462">
        <w:t>c</w:t>
      </w:r>
      <w:r w:rsidRPr="00255180">
        <w:t>omplaint filed in</w:t>
      </w:r>
      <w:r w:rsidR="00F136EE" w:rsidRPr="00255180">
        <w:t xml:space="preserve"> June 2016, regarding Hunt Club’</w:t>
      </w:r>
      <w:r w:rsidRPr="00255180">
        <w:t>s water and wastewater billing.</w:t>
      </w:r>
    </w:p>
    <w:p w:rsidR="005E449A" w:rsidRPr="00255180" w:rsidRDefault="0026177C" w:rsidP="00255180">
      <w:pPr>
        <w:pStyle w:val="FOFNumbered"/>
      </w:pPr>
      <w:r w:rsidRPr="00255180">
        <w:t>Hocutt Inc.</w:t>
      </w:r>
      <w:r w:rsidR="005E449A" w:rsidRPr="00255180">
        <w:t xml:space="preserve"> conducts utility billing services on behalf of Hunt Club.</w:t>
      </w:r>
    </w:p>
    <w:p w:rsidR="005E449A" w:rsidRPr="00255180" w:rsidRDefault="005E449A" w:rsidP="00255180">
      <w:pPr>
        <w:pStyle w:val="FOFNumbered"/>
      </w:pPr>
      <w:r w:rsidRPr="00255180">
        <w:t>Hunt Club has 384 dwelling units that it can lease to tenants.</w:t>
      </w:r>
    </w:p>
    <w:p w:rsidR="005E449A" w:rsidRPr="00255180" w:rsidRDefault="005E449A" w:rsidP="00255180">
      <w:pPr>
        <w:pStyle w:val="FOFNumbered"/>
      </w:pPr>
      <w:r w:rsidRPr="00255180">
        <w:t xml:space="preserve">Hocutt began billing for water and sewer service implementing the allocated occupancy methodology on September 1, 2015, without having first registered with the </w:t>
      </w:r>
      <w:r w:rsidR="00F136EE" w:rsidRPr="00255180">
        <w:t>C</w:t>
      </w:r>
      <w:r w:rsidRPr="00255180">
        <w:t>ommission.</w:t>
      </w:r>
    </w:p>
    <w:p w:rsidR="005E449A" w:rsidRPr="00255180" w:rsidRDefault="005E449A" w:rsidP="00255180">
      <w:pPr>
        <w:pStyle w:val="FOFNumbered"/>
      </w:pPr>
      <w:r w:rsidRPr="00255180">
        <w:t>On December 5, 2017, Bel Shoreline registered Hunt Club with the Commission in order to bill for water utilities under the actual occupancy allocation method, in compliance with 16 TAC § 24.122(a).</w:t>
      </w:r>
    </w:p>
    <w:p w:rsidR="005E449A" w:rsidRPr="00255180" w:rsidRDefault="00F136EE" w:rsidP="00255180">
      <w:pPr>
        <w:pStyle w:val="FOFNumbered"/>
      </w:pPr>
      <w:r w:rsidRPr="00255180">
        <w:t>Commission Staff’</w:t>
      </w:r>
      <w:r w:rsidR="005E449A" w:rsidRPr="00255180">
        <w:t>s investigation determined that Hunt Club charged significantly more for water and wastewater services to customers than the City of Austin Water Utility Services (A</w:t>
      </w:r>
      <w:r w:rsidR="00FD579F" w:rsidRPr="00255180">
        <w:t xml:space="preserve">ustin Water) charged Hunt Club.  </w:t>
      </w:r>
      <w:r w:rsidR="005E449A" w:rsidRPr="00255180">
        <w:t>In six of the nineteen months reviewed by Commission Staff, Hunt Club charged tenants over $1,000 more than Austin Water charged Hunt Club, for a total overcharge of $21,089.37.</w:t>
      </w:r>
    </w:p>
    <w:p w:rsidR="005E449A" w:rsidRPr="00255180" w:rsidRDefault="005E449A" w:rsidP="00255180">
      <w:pPr>
        <w:pStyle w:val="FOFNumbered"/>
      </w:pPr>
      <w:r w:rsidRPr="00255180">
        <w:t>Hunt Club chose to bill its tenants by the actual occupancy allocation method specified in 16 TAC § 24.124(e)(2)(A)(i) by i</w:t>
      </w:r>
      <w:r w:rsidR="00FD579F" w:rsidRPr="00255180">
        <w:t>ncluding a provision in tenants’</w:t>
      </w:r>
      <w:r w:rsidRPr="00255180">
        <w:t xml:space="preserve"> lease, although it had not yet registered this method with the Commission.</w:t>
      </w:r>
    </w:p>
    <w:p w:rsidR="005E449A" w:rsidRPr="00255180" w:rsidRDefault="005E449A" w:rsidP="00255180">
      <w:pPr>
        <w:pStyle w:val="FOFNumbered"/>
      </w:pPr>
      <w:r w:rsidRPr="00255180">
        <w:t xml:space="preserve">When the total cost for utility services is divided by </w:t>
      </w:r>
      <w:r w:rsidR="00F136EE" w:rsidRPr="00255180">
        <w:t xml:space="preserve">a </w:t>
      </w:r>
      <w:r w:rsidRPr="00255180">
        <w:t>fewer number of occupants, the ultimate effect is that all tenants are charged more for utility services.</w:t>
      </w:r>
    </w:p>
    <w:p w:rsidR="005E449A" w:rsidRPr="00255180" w:rsidRDefault="005E449A" w:rsidP="00255180">
      <w:pPr>
        <w:pStyle w:val="FOFNumbered"/>
      </w:pPr>
      <w:r w:rsidRPr="00255180">
        <w:t>When Hocutt calculated the number of occupants in all dwelling units, it d</w:t>
      </w:r>
      <w:r w:rsidR="00FD579F" w:rsidRPr="00255180">
        <w:t xml:space="preserve">id not properly count move-ins.  </w:t>
      </w:r>
      <w:r w:rsidRPr="00255180">
        <w:t>Hocutt discounted the count of move-in occupants by counting them as less than a whole occupant, based on how many days of the month</w:t>
      </w:r>
      <w:r w:rsidR="00FD579F" w:rsidRPr="00255180">
        <w:t xml:space="preserve"> an occupant lived in the unit.  </w:t>
      </w:r>
      <w:r w:rsidRPr="00255180">
        <w:t xml:space="preserve">For example, if a tenant moved in half way through a month, Hocutt counted that tenant as </w:t>
      </w:r>
      <w:r w:rsidR="00F136EE" w:rsidRPr="00255180">
        <w:t>1/2</w:t>
      </w:r>
      <w:r w:rsidRPr="00255180">
        <w:t xml:space="preserve"> of an occupant for the purpose of calculating utility bills.</w:t>
      </w:r>
    </w:p>
    <w:p w:rsidR="005E449A" w:rsidRPr="00255180" w:rsidRDefault="005E449A" w:rsidP="00255180">
      <w:pPr>
        <w:pStyle w:val="FOFNumbered"/>
      </w:pPr>
      <w:r w:rsidRPr="00255180">
        <w:t xml:space="preserve">Commission Staff determined that Hocutt miscalculated its occupancy count for the entirety of the billing period examined in </w:t>
      </w:r>
      <w:r w:rsidR="00F136EE" w:rsidRPr="00255180">
        <w:t>Commission Staff’</w:t>
      </w:r>
      <w:r w:rsidRPr="00255180">
        <w:t>s review due to its miscalculation of t</w:t>
      </w:r>
      <w:r w:rsidR="00FD579F" w:rsidRPr="00255180">
        <w:t xml:space="preserve">he number of move-in occupants.  </w:t>
      </w:r>
      <w:r w:rsidR="00F136EE" w:rsidRPr="00255180">
        <w:t>Hocutt’</w:t>
      </w:r>
      <w:r w:rsidRPr="00255180">
        <w:t>s miscalculation resulted in an average of 36.81 fewer occupants per month over the course of Commission Staff</w:t>
      </w:r>
      <w:r w:rsidR="00FD579F" w:rsidRPr="00255180">
        <w:t>’</w:t>
      </w:r>
      <w:r w:rsidRPr="00255180">
        <w:t>s review.</w:t>
      </w:r>
    </w:p>
    <w:p w:rsidR="005E449A" w:rsidRPr="00255180" w:rsidRDefault="005E449A" w:rsidP="00255180">
      <w:pPr>
        <w:pStyle w:val="FOFNumbered"/>
      </w:pPr>
      <w:r w:rsidRPr="00255180">
        <w:t>Commission Staff determined that Hocutt was not charging move-in tenants in compliance with 16 TAC § 24.124(e)(3) and Hocutt has overcharged almost all move-ins.</w:t>
      </w:r>
    </w:p>
    <w:p w:rsidR="005E449A" w:rsidRPr="00255180" w:rsidRDefault="005E449A" w:rsidP="00255180">
      <w:pPr>
        <w:pStyle w:val="FOFNumbered"/>
      </w:pPr>
      <w:r w:rsidRPr="00255180">
        <w:t>Commission Staff determined that Hocutt overcharged move-ins, for a cumulative total of $1,344.80 over the 19 months examined, by taking the difference in the correct calculation a</w:t>
      </w:r>
      <w:r w:rsidR="00F136EE" w:rsidRPr="00255180">
        <w:t>nd Hocutt’</w:t>
      </w:r>
      <w:r w:rsidRPr="00255180">
        <w:t>s move-in bills.</w:t>
      </w:r>
    </w:p>
    <w:p w:rsidR="005E449A" w:rsidRPr="00255180" w:rsidRDefault="005E449A" w:rsidP="00255180">
      <w:pPr>
        <w:pStyle w:val="FOFNumbered"/>
      </w:pPr>
      <w:r w:rsidRPr="00255180">
        <w:t>Hocut</w:t>
      </w:r>
      <w:r w:rsidR="00F136EE" w:rsidRPr="00255180">
        <w:t>t claimed to calculate a tenant’</w:t>
      </w:r>
      <w:r w:rsidRPr="00255180">
        <w:t xml:space="preserve">s </w:t>
      </w:r>
      <w:r w:rsidR="00F136EE" w:rsidRPr="00255180">
        <w:t>final bill by taking the tenant’</w:t>
      </w:r>
      <w:r w:rsidRPr="00255180">
        <w:t>s previous bill and prorating it for the number of days</w:t>
      </w:r>
      <w:r w:rsidR="00FD579F" w:rsidRPr="00255180">
        <w:t xml:space="preserve"> that</w:t>
      </w:r>
      <w:r w:rsidR="004B08FE" w:rsidRPr="00255180">
        <w:t xml:space="preserve"> the</w:t>
      </w:r>
      <w:r w:rsidR="00FD579F" w:rsidRPr="00255180">
        <w:t xml:space="preserve"> tenant lived in the unit.  </w:t>
      </w:r>
      <w:r w:rsidRPr="00255180">
        <w:t>However, Commission Staff determined that neither this method, nor any method, was consistently implemented in Hocutt move-outs calculations.</w:t>
      </w:r>
      <w:r w:rsidR="00770609">
        <w:rPr>
          <w:rStyle w:val="FootnoteReference"/>
        </w:rPr>
        <w:footnoteReference w:id="1"/>
      </w:r>
    </w:p>
    <w:p w:rsidR="005E449A" w:rsidRPr="00255180" w:rsidRDefault="005E449A" w:rsidP="00255180">
      <w:pPr>
        <w:pStyle w:val="FOFNumbered"/>
      </w:pPr>
      <w:r w:rsidRPr="00255180">
        <w:t>Commission Staff determined that Hocutt overcharged move-outs, f</w:t>
      </w:r>
      <w:r w:rsidR="0026177C" w:rsidRPr="00255180">
        <w:t>or a cumulative total of $7,007.</w:t>
      </w:r>
      <w:r w:rsidRPr="00255180">
        <w:t>12 over the 19 months examined, by taking the difference in the correct calculation and Hoc</w:t>
      </w:r>
      <w:r w:rsidR="004B08FE" w:rsidRPr="00255180">
        <w:t>utt’</w:t>
      </w:r>
      <w:r w:rsidR="0085692F">
        <w:t xml:space="preserve">s final bills to move-outs.  </w:t>
      </w:r>
      <w:r w:rsidRPr="00255180">
        <w:t>Some move-out tenants were overcharged by over $50.</w:t>
      </w:r>
    </w:p>
    <w:p w:rsidR="005E449A" w:rsidRPr="00255180" w:rsidRDefault="005E449A" w:rsidP="00255180">
      <w:pPr>
        <w:pStyle w:val="FOFNumbered"/>
      </w:pPr>
      <w:r w:rsidRPr="00255180">
        <w:t>Hunt Club did not receive a bill for the "unit 11" meter from Austin W</w:t>
      </w:r>
      <w:r w:rsidR="00FD579F" w:rsidRPr="00255180">
        <w:t xml:space="preserve">ater from </w:t>
      </w:r>
      <w:r w:rsidR="004B08FE" w:rsidRPr="00255180">
        <w:t>October 22, 2015</w:t>
      </w:r>
      <w:r w:rsidR="00FD579F" w:rsidRPr="00255180">
        <w:t xml:space="preserve"> to </w:t>
      </w:r>
      <w:r w:rsidR="004B08FE" w:rsidRPr="00255180">
        <w:t>October 21, 2016</w:t>
      </w:r>
      <w:r w:rsidR="00FD579F" w:rsidRPr="00255180">
        <w:t xml:space="preserve">.  </w:t>
      </w:r>
      <w:r w:rsidRPr="00255180">
        <w:t xml:space="preserve">The unit 11 meter is one of twelve meters factored into the total water utility bill, which is subsequently divided </w:t>
      </w:r>
      <w:r w:rsidR="004B08FE" w:rsidRPr="00255180">
        <w:t>among</w:t>
      </w:r>
      <w:r w:rsidRPr="00255180">
        <w:t xml:space="preserve"> tenants </w:t>
      </w:r>
      <w:r w:rsidR="004B08FE" w:rsidRPr="00255180">
        <w:t>under Hunt Club’</w:t>
      </w:r>
      <w:r w:rsidR="00FD579F" w:rsidRPr="00255180">
        <w:t xml:space="preserve">s chosen billing method.  </w:t>
      </w:r>
      <w:r w:rsidRPr="00255180">
        <w:t xml:space="preserve">For </w:t>
      </w:r>
      <w:r w:rsidR="004B08FE" w:rsidRPr="00255180">
        <w:t>eight</w:t>
      </w:r>
      <w:r w:rsidRPr="00255180">
        <w:t xml:space="preserve"> months, from </w:t>
      </w:r>
      <w:r w:rsidR="004B08FE" w:rsidRPr="00255180">
        <w:t xml:space="preserve">October 22, 2015 to June 23, 2016, </w:t>
      </w:r>
      <w:r w:rsidRPr="00255180">
        <w:t>Hocutt estimated the water and wastewater charges for unit 11 by adding $1,100 per month for water services and $1,100 per month for sewer services to the total for services from Austin Water, for</w:t>
      </w:r>
      <w:r w:rsidR="00FD579F" w:rsidRPr="00255180">
        <w:t xml:space="preserve"> a cumulative total of $17,600.  </w:t>
      </w:r>
      <w:r w:rsidRPr="00255180">
        <w:t>When Austin Water issued a bill for actual usage on the unit 11 meter, the total was $16,867.03.</w:t>
      </w:r>
    </w:p>
    <w:p w:rsidR="005E449A" w:rsidRPr="00255180" w:rsidRDefault="005E449A" w:rsidP="00255180">
      <w:pPr>
        <w:pStyle w:val="FOFNumbered"/>
      </w:pPr>
      <w:r w:rsidRPr="00255180">
        <w:t xml:space="preserve">Hocutt did not issue adjusted bills for the difference in the estimated charge and the actual charge for the unit 11 meter for </w:t>
      </w:r>
      <w:r w:rsidR="00AB2716" w:rsidRPr="00255180">
        <w:t xml:space="preserve">October 22, 2015 through June 23, 2016 </w:t>
      </w:r>
      <w:r w:rsidRPr="00255180">
        <w:t>bills.</w:t>
      </w:r>
    </w:p>
    <w:p w:rsidR="005E449A" w:rsidRPr="00255180" w:rsidRDefault="005E449A" w:rsidP="00255180">
      <w:pPr>
        <w:pStyle w:val="FOFNumbered"/>
      </w:pPr>
      <w:r w:rsidRPr="00255180">
        <w:t>Commission Staff determined that Hunt Club, through Hocutt, overcharged tenants at least $732.97 by estimating the water usage for the unit 11 meter.</w:t>
      </w:r>
    </w:p>
    <w:p w:rsidR="005E449A" w:rsidRPr="00255180" w:rsidRDefault="005E449A" w:rsidP="00255180">
      <w:pPr>
        <w:pStyle w:val="FOFNumbered"/>
      </w:pPr>
      <w:r w:rsidRPr="00255180">
        <w:t xml:space="preserve">Commission Staff determined that Hunt Club failed to comply with Commission </w:t>
      </w:r>
      <w:r w:rsidR="00AB2716" w:rsidRPr="00255180">
        <w:t xml:space="preserve">rules </w:t>
      </w:r>
      <w:r w:rsidRPr="00255180">
        <w:t xml:space="preserve">by frequently estimating a portion of the water bill to residents without distinctly marking the bill as </w:t>
      </w:r>
      <w:r w:rsidR="00FD579F" w:rsidRPr="00255180">
        <w:t>estimated</w:t>
      </w:r>
      <w:r w:rsidRPr="00255180">
        <w:t>.</w:t>
      </w:r>
    </w:p>
    <w:p w:rsidR="005E449A" w:rsidRPr="00255180" w:rsidRDefault="005E449A" w:rsidP="00255180">
      <w:pPr>
        <w:pStyle w:val="FOFNumbered"/>
      </w:pPr>
      <w:r w:rsidRPr="00255180">
        <w:t xml:space="preserve">Hocutt failed to deduct the customer service charge before allocating the total, which has caused every dwelling with more than </w:t>
      </w:r>
      <w:r w:rsidR="00FD579F" w:rsidRPr="00255180">
        <w:t xml:space="preserve">one occupant to be overcharged.  </w:t>
      </w:r>
      <w:r w:rsidRPr="00255180">
        <w:t>For the August</w:t>
      </w:r>
      <w:r w:rsidR="008F3DAA" w:rsidRPr="00255180">
        <w:t> 2015 bill</w:t>
      </w:r>
      <w:r w:rsidRPr="00255180">
        <w:t xml:space="preserve"> single occupant dwellings were unde</w:t>
      </w:r>
      <w:r w:rsidR="008F3DAA" w:rsidRPr="00255180">
        <w:t>rbilled $0.89 because of Hocutt’</w:t>
      </w:r>
      <w:r w:rsidRPr="00255180">
        <w:t>s mistake</w:t>
      </w:r>
      <w:r w:rsidR="008F3DAA" w:rsidRPr="00255180">
        <w:t>,</w:t>
      </w:r>
      <w:r w:rsidRPr="00255180">
        <w:t xml:space="preserve"> two occupant dwellings were overbilled $0.33</w:t>
      </w:r>
      <w:r w:rsidR="008F3DAA" w:rsidRPr="00255180">
        <w:t>,</w:t>
      </w:r>
      <w:r w:rsidRPr="00255180">
        <w:t xml:space="preserve"> three occupant dwellings were overbilled $1.27</w:t>
      </w:r>
      <w:r w:rsidR="008F3DAA" w:rsidRPr="00255180">
        <w:t>,</w:t>
      </w:r>
      <w:r w:rsidRPr="00255180">
        <w:t xml:space="preserve"> four occupant dwellings were overbilled $2.21</w:t>
      </w:r>
      <w:r w:rsidR="008F3DAA" w:rsidRPr="00255180">
        <w:t>,</w:t>
      </w:r>
      <w:r w:rsidRPr="00255180">
        <w:t xml:space="preserve"> </w:t>
      </w:r>
      <w:r w:rsidR="008F3DAA" w:rsidRPr="00255180">
        <w:t xml:space="preserve">and </w:t>
      </w:r>
      <w:r w:rsidRPr="00255180">
        <w:t>five occupant dwellings were overbilled $3.15.</w:t>
      </w:r>
    </w:p>
    <w:p w:rsidR="005E449A" w:rsidRDefault="005E449A" w:rsidP="00255180">
      <w:pPr>
        <w:pStyle w:val="FOFNumbered"/>
      </w:pPr>
      <w:r w:rsidRPr="00255180">
        <w:t>Commission Staff determined that Hocutt did not separate the customer service charge from the charge for allocated water or sewer utility services on any bills from the July</w:t>
      </w:r>
      <w:r w:rsidR="00255180" w:rsidRPr="00255180">
        <w:t> </w:t>
      </w:r>
      <w:r w:rsidRPr="00255180">
        <w:t xml:space="preserve">2015 bill </w:t>
      </w:r>
      <w:r w:rsidR="004366E9">
        <w:t>through the December 2016 bill</w:t>
      </w:r>
      <w:r w:rsidRPr="00255180">
        <w:t>.</w:t>
      </w:r>
    </w:p>
    <w:p w:rsidR="004366E9" w:rsidRPr="00255180" w:rsidRDefault="004366E9" w:rsidP="00255180">
      <w:pPr>
        <w:pStyle w:val="FOFNumbered"/>
      </w:pPr>
      <w:r>
        <w:t>Due to the occupancy miscalculation and failure to separate the customer service charge, Hunt Club, through Hocutt, has overcharged tenants $5,468.01.</w:t>
      </w:r>
    </w:p>
    <w:p w:rsidR="004366E9" w:rsidRDefault="005E449A" w:rsidP="00255180">
      <w:pPr>
        <w:pStyle w:val="FOFNumbered"/>
      </w:pPr>
      <w:r w:rsidRPr="00255180">
        <w:t>Commission Staff determined that Hunt Club has overbilled 698 tenants a total of $35,642.27 for monthly water utility services</w:t>
      </w:r>
      <w:r w:rsidR="004366E9">
        <w:t xml:space="preserve">. </w:t>
      </w:r>
      <w:r w:rsidR="00194905">
        <w:t>This total results from $21,089.37 in charges greater than the utility charge, $1,344.80 in miscalculating move-in tenants’ bills, $7,007.12 from miscalculating move-out tenants’ bills, $732.97 from over estimating the unit 11 charges, and $5,468.01 from miscalculating the occupancy count and failing to separate the customer service charge.</w:t>
      </w:r>
      <w:r w:rsidRPr="00255180">
        <w:t xml:space="preserve"> </w:t>
      </w:r>
    </w:p>
    <w:p w:rsidR="005E449A" w:rsidRPr="00255180" w:rsidRDefault="005E449A" w:rsidP="00255180">
      <w:pPr>
        <w:pStyle w:val="FOFNumbered"/>
      </w:pPr>
      <w:r w:rsidRPr="00255180">
        <w:t xml:space="preserve">Hunt Club, by and through its agent, Hocutt, agrees to refund the full amount that each of the 698 tenants </w:t>
      </w:r>
      <w:r w:rsidR="00255180" w:rsidRPr="00255180">
        <w:t xml:space="preserve">were </w:t>
      </w:r>
      <w:r w:rsidRPr="00255180">
        <w:t>overcharged due to its billing miscalculations from September</w:t>
      </w:r>
      <w:r w:rsidR="00255180" w:rsidRPr="00255180">
        <w:t> </w:t>
      </w:r>
      <w:r w:rsidRPr="00255180">
        <w:t>1,</w:t>
      </w:r>
      <w:r w:rsidR="00255180" w:rsidRPr="00255180">
        <w:t> </w:t>
      </w:r>
      <w:r w:rsidRPr="00255180">
        <w:t>2015 to January 31, 2017.</w:t>
      </w:r>
    </w:p>
    <w:p w:rsidR="005E449A" w:rsidRPr="00255180" w:rsidRDefault="005E449A" w:rsidP="00255180">
      <w:pPr>
        <w:pStyle w:val="FOFNumbered"/>
      </w:pPr>
      <w:r w:rsidRPr="00255180">
        <w:t>Hocutt has agreed to issue re</w:t>
      </w:r>
      <w:r w:rsidR="00255180" w:rsidRPr="00255180">
        <w:t>funds according to Attachment 2</w:t>
      </w:r>
      <w:r w:rsidR="00A253A6">
        <w:rPr>
          <w:rStyle w:val="FootnoteReference"/>
        </w:rPr>
        <w:footnoteReference w:id="2"/>
      </w:r>
      <w:r w:rsidR="00A253A6">
        <w:t xml:space="preserve"> </w:t>
      </w:r>
      <w:r w:rsidRPr="00255180">
        <w:t xml:space="preserve"> </w:t>
      </w:r>
      <w:r w:rsidR="00255180" w:rsidRPr="00255180">
        <w:t xml:space="preserve">to the agreement </w:t>
      </w:r>
      <w:r w:rsidRPr="00255180">
        <w:t>deta</w:t>
      </w:r>
      <w:r w:rsidR="003725E0">
        <w:t xml:space="preserve">iling the total amount </w:t>
      </w:r>
      <w:r w:rsidRPr="00255180">
        <w:t>each tenant is owed.</w:t>
      </w:r>
    </w:p>
    <w:p w:rsidR="005E449A" w:rsidRPr="00255180" w:rsidRDefault="005E449A" w:rsidP="00255180">
      <w:pPr>
        <w:pStyle w:val="FOFNumbered"/>
      </w:pPr>
      <w:r w:rsidRPr="00255180">
        <w:t>When issuing refunds, Hocutt will include a letter to tenants explaining the reason for the</w:t>
      </w:r>
      <w:r w:rsidR="00255180" w:rsidRPr="00255180">
        <w:t xml:space="preserve"> refund being issued </w:t>
      </w:r>
      <w:r w:rsidR="003725E0">
        <w:t xml:space="preserve">is </w:t>
      </w:r>
      <w:r w:rsidR="00255180" w:rsidRPr="00255180">
        <w:t>for Hocutt’</w:t>
      </w:r>
      <w:r w:rsidRPr="00255180">
        <w:t>s miscalculations, as well as a reference to this investigation and settlement.</w:t>
      </w:r>
    </w:p>
    <w:p w:rsidR="005E449A" w:rsidRPr="00255180" w:rsidRDefault="005E449A" w:rsidP="00255180">
      <w:pPr>
        <w:pStyle w:val="FOFNumbered"/>
      </w:pPr>
      <w:r w:rsidRPr="00255180">
        <w:t xml:space="preserve">Hocutt has agreed to treat any unclaimed refunds consistent with Title 6 of the Texas Property </w:t>
      </w:r>
      <w:r w:rsidR="00255180" w:rsidRPr="00255180">
        <w:t>C</w:t>
      </w:r>
      <w:r w:rsidRPr="00255180">
        <w:t>ode related to unclaimed property.</w:t>
      </w:r>
    </w:p>
    <w:p w:rsidR="005E449A" w:rsidRPr="00255180" w:rsidRDefault="005E449A" w:rsidP="00255180">
      <w:pPr>
        <w:pStyle w:val="FOFNumbered"/>
      </w:pPr>
      <w:r w:rsidRPr="00255180">
        <w:t>In order to prevent future non-compliance, Hocutt has implemented new procedures to ensure that it correctly bills tenants.</w:t>
      </w:r>
    </w:p>
    <w:p w:rsidR="005E449A" w:rsidRPr="00255180" w:rsidRDefault="005E449A" w:rsidP="00255180">
      <w:pPr>
        <w:pStyle w:val="FOFNumbered"/>
      </w:pPr>
      <w:r w:rsidRPr="00255180">
        <w:t>Hunt Club and Hocutt fully cooperated with Commission St</w:t>
      </w:r>
      <w:r w:rsidR="00FD579F" w:rsidRPr="00255180">
        <w:t>aff’</w:t>
      </w:r>
      <w:r w:rsidRPr="00255180">
        <w:t>s investigation.</w:t>
      </w:r>
    </w:p>
    <w:p w:rsidR="005E449A" w:rsidRPr="00255180" w:rsidRDefault="005E449A" w:rsidP="00255180">
      <w:pPr>
        <w:pStyle w:val="FOFNumbered"/>
      </w:pPr>
      <w:r w:rsidRPr="00255180">
        <w:t>Hocutt asserts, on behalf of Hunt Club, that the violations detailed in this</w:t>
      </w:r>
      <w:r w:rsidR="00255180" w:rsidRPr="00255180">
        <w:t xml:space="preserve"> O</w:t>
      </w:r>
      <w:r w:rsidRPr="00255180">
        <w:t>rder were not committed intentionally.</w:t>
      </w:r>
    </w:p>
    <w:p w:rsidR="005E449A" w:rsidRPr="00255180" w:rsidRDefault="005E449A" w:rsidP="00255180">
      <w:pPr>
        <w:pStyle w:val="FOFNumbered"/>
      </w:pPr>
      <w:r w:rsidRPr="00255180">
        <w:t xml:space="preserve">Hunt Club has agreed to the terms of </w:t>
      </w:r>
      <w:r w:rsidR="00255180" w:rsidRPr="00255180">
        <w:t>the agreement</w:t>
      </w:r>
      <w:r w:rsidRPr="00255180">
        <w:t xml:space="preserve"> as detailed in this Order.</w:t>
      </w:r>
    </w:p>
    <w:p w:rsidR="005E449A" w:rsidRPr="00255180" w:rsidRDefault="005E449A" w:rsidP="00255180">
      <w:pPr>
        <w:pStyle w:val="FOFNumbered"/>
      </w:pPr>
      <w:r w:rsidRPr="00255180">
        <w:t xml:space="preserve">Hocutt has agreed to the terms of </w:t>
      </w:r>
      <w:r w:rsidR="00255180" w:rsidRPr="00255180">
        <w:t>the agreement</w:t>
      </w:r>
      <w:r w:rsidRPr="00255180">
        <w:t xml:space="preserve"> as detailed in this Order.</w:t>
      </w:r>
    </w:p>
    <w:p w:rsidR="00F136EE" w:rsidRPr="00255180" w:rsidRDefault="005E449A" w:rsidP="00255180">
      <w:pPr>
        <w:pStyle w:val="FOFNumbered"/>
      </w:pPr>
      <w:r w:rsidRPr="00255180">
        <w:t>Hunt Club and Hocutt have participated in one or more settlement discussions with Commission Staff to resolve this matter.</w:t>
      </w:r>
    </w:p>
    <w:p w:rsidR="005E449A" w:rsidRPr="00255180" w:rsidRDefault="005E449A" w:rsidP="00255180">
      <w:pPr>
        <w:pStyle w:val="FOFNumbered"/>
      </w:pPr>
      <w:r w:rsidRPr="00255180">
        <w:t xml:space="preserve">On February 6, 2018, the </w:t>
      </w:r>
      <w:r w:rsidR="00255180" w:rsidRPr="00255180">
        <w:t xml:space="preserve">parties </w:t>
      </w:r>
      <w:r w:rsidRPr="00255180">
        <w:t xml:space="preserve">entered into the </w:t>
      </w:r>
      <w:r w:rsidR="00AB2CB2" w:rsidRPr="00255180">
        <w:t xml:space="preserve">agreement </w:t>
      </w:r>
      <w:r w:rsidRPr="00255180">
        <w:t>resolving the violations. Commission Staff recommended, and Hunt Club agreed to pay, a refund to tenants, totaling $35,642.27.</w:t>
      </w:r>
    </w:p>
    <w:p w:rsidR="005E449A" w:rsidRPr="00255180" w:rsidRDefault="00FD579F" w:rsidP="00255180">
      <w:pPr>
        <w:pStyle w:val="FOFNumbered"/>
      </w:pPr>
      <w:r w:rsidRPr="00255180">
        <w:t>The a</w:t>
      </w:r>
      <w:r w:rsidR="005E449A" w:rsidRPr="00255180">
        <w:t>greement provides for a reasonable resolution of this</w:t>
      </w:r>
      <w:r w:rsidRPr="00255180">
        <w:t xml:space="preserve"> dispute.</w:t>
      </w:r>
    </w:p>
    <w:p w:rsidR="00EE5DDA" w:rsidRPr="00255180" w:rsidRDefault="00EE5DDA" w:rsidP="00255180">
      <w:pPr>
        <w:pStyle w:val="Heading1"/>
        <w:rPr>
          <w:rFonts w:cs="Times New Roman"/>
          <w:szCs w:val="24"/>
        </w:rPr>
      </w:pPr>
      <w:r w:rsidRPr="00255180">
        <w:rPr>
          <w:rFonts w:cs="Times New Roman"/>
          <w:szCs w:val="24"/>
        </w:rPr>
        <w:t>Conclusions of Law</w:t>
      </w:r>
    </w:p>
    <w:p w:rsidR="00FD579F" w:rsidRPr="00A03FE8" w:rsidRDefault="00FD579F" w:rsidP="00A03FE8">
      <w:pPr>
        <w:pStyle w:val="COLNumbered"/>
      </w:pPr>
      <w:r w:rsidRPr="00A03FE8">
        <w:t xml:space="preserve">The Commission has jurisdiction over </w:t>
      </w:r>
      <w:r w:rsidR="00AB2CB2">
        <w:t>the agreement</w:t>
      </w:r>
      <w:r w:rsidRPr="00A03FE8">
        <w:t xml:space="preserve"> </w:t>
      </w:r>
      <w:r w:rsidR="003725E0">
        <w:t>under</w:t>
      </w:r>
      <w:r w:rsidRPr="00A03FE8">
        <w:t xml:space="preserve"> Texas Water Code</w:t>
      </w:r>
      <w:r w:rsidR="00CA3419">
        <w:rPr>
          <w:rStyle w:val="FootnoteReference"/>
        </w:rPr>
        <w:footnoteReference w:id="3"/>
      </w:r>
      <w:r w:rsidRPr="00A03FE8">
        <w:t xml:space="preserve"> §</w:t>
      </w:r>
      <w:r w:rsidR="00CA3419">
        <w:t> </w:t>
      </w:r>
      <w:r w:rsidRPr="00A03FE8">
        <w:t>13.041.</w:t>
      </w:r>
    </w:p>
    <w:p w:rsidR="00FD579F" w:rsidRPr="00A03FE8" w:rsidRDefault="00FD579F" w:rsidP="00A03FE8">
      <w:pPr>
        <w:pStyle w:val="COLNumbered"/>
      </w:pPr>
      <w:r w:rsidRPr="00A03FE8">
        <w:t xml:space="preserve">Hunt Club is an </w:t>
      </w:r>
      <w:r w:rsidR="003D78E3" w:rsidRPr="00A03FE8">
        <w:t xml:space="preserve">apartment house </w:t>
      </w:r>
      <w:r w:rsidRPr="00A03FE8">
        <w:t>as defined by TWC § 13.501(1) and 16 TAC §</w:t>
      </w:r>
      <w:r w:rsidR="003D78E3">
        <w:t> </w:t>
      </w:r>
      <w:r w:rsidRPr="00A03FE8">
        <w:t>24.121(c)(2) for the purposes of TWC § 13.5031 and 16 TAC §§ 24.122-</w:t>
      </w:r>
      <w:r w:rsidR="00E92A45">
        <w:t>.</w:t>
      </w:r>
      <w:r w:rsidRPr="00A03FE8">
        <w:t>125.</w:t>
      </w:r>
    </w:p>
    <w:p w:rsidR="00FD579F" w:rsidRPr="00A03FE8" w:rsidRDefault="00FD579F" w:rsidP="00A03FE8">
      <w:pPr>
        <w:pStyle w:val="COLNumbered"/>
      </w:pPr>
      <w:r w:rsidRPr="00A03FE8">
        <w:t xml:space="preserve">Hunt Club is an </w:t>
      </w:r>
      <w:r w:rsidR="00E92A45" w:rsidRPr="00A03FE8">
        <w:t xml:space="preserve">owner of an apartment house </w:t>
      </w:r>
      <w:r w:rsidRPr="00A03FE8">
        <w:t>as defined by TWC § 13.501(5) and 16 TAC § 24.121(c)(10) for the purposes of 16 TAC §§ 24.122-</w:t>
      </w:r>
      <w:r w:rsidR="00E92A45">
        <w:t>.</w:t>
      </w:r>
      <w:r w:rsidRPr="00A03FE8">
        <w:t>125.</w:t>
      </w:r>
    </w:p>
    <w:p w:rsidR="00FD579F" w:rsidRPr="00A03FE8" w:rsidRDefault="00FD579F" w:rsidP="00A03FE8">
      <w:pPr>
        <w:pStyle w:val="COLNumbered"/>
      </w:pPr>
      <w:r w:rsidRPr="00A03FE8">
        <w:t>Under TWC § 13.5031, the Commission is required to adopt rules and standards governing billing systems or methods used by apartment house owners for prorating or allocating among tenants non</w:t>
      </w:r>
      <w:r w:rsidR="00E92A45">
        <w:t>-submetered master-</w:t>
      </w:r>
      <w:r w:rsidRPr="00A03FE8">
        <w:t>metered utility service costs.</w:t>
      </w:r>
    </w:p>
    <w:p w:rsidR="00FD579F" w:rsidRPr="00A03FE8" w:rsidRDefault="00FD579F" w:rsidP="00A03FE8">
      <w:pPr>
        <w:pStyle w:val="COLNumbered"/>
      </w:pPr>
      <w:r w:rsidRPr="00A03FE8">
        <w:t>Under TWC § 13.5031(1), the Commission must adopt rules that require the rental agreement to contain a clear written description of the method of calculation of the allocation of non</w:t>
      </w:r>
      <w:r w:rsidR="00E92A45">
        <w:t>-submetered master-</w:t>
      </w:r>
      <w:r w:rsidRPr="00A03FE8">
        <w:t>metered utilities for the apartment house.</w:t>
      </w:r>
    </w:p>
    <w:p w:rsidR="00FD579F" w:rsidRPr="00A03FE8" w:rsidRDefault="00FD579F" w:rsidP="00A03FE8">
      <w:pPr>
        <w:pStyle w:val="COLNumbered"/>
      </w:pPr>
      <w:r w:rsidRPr="00A03FE8">
        <w:t xml:space="preserve">Under 16 TAC § 24.122(a), an </w:t>
      </w:r>
      <w:r w:rsidR="00E92A45" w:rsidRPr="00A03FE8">
        <w:t xml:space="preserve">owner who </w:t>
      </w:r>
      <w:r w:rsidRPr="00A03FE8">
        <w:t>intends to bill tenants for submetered or allocated utility service or who changes the method used to bill tenants for utility service is</w:t>
      </w:r>
      <w:r w:rsidR="00E92A45">
        <w:t xml:space="preserve"> required to register with the Commission</w:t>
      </w:r>
      <w:r w:rsidR="00E92A45" w:rsidRPr="00A03FE8">
        <w:t xml:space="preserve"> </w:t>
      </w:r>
      <w:r w:rsidRPr="00A03FE8">
        <w:t xml:space="preserve">in a form prescribed by the </w:t>
      </w:r>
      <w:r w:rsidR="00E92A45">
        <w:t>Commission</w:t>
      </w:r>
      <w:r w:rsidRPr="00A03FE8">
        <w:t>.</w:t>
      </w:r>
    </w:p>
    <w:p w:rsidR="00FD579F" w:rsidRPr="00A03FE8" w:rsidRDefault="00FD579F" w:rsidP="00A03FE8">
      <w:pPr>
        <w:pStyle w:val="COLNumbered"/>
      </w:pPr>
      <w:r w:rsidRPr="00A03FE8">
        <w:t xml:space="preserve">Under TWC § 13.5031(3), the </w:t>
      </w:r>
      <w:r w:rsidR="00E92A45">
        <w:t>Commission</w:t>
      </w:r>
      <w:r w:rsidRPr="00A03FE8">
        <w:t xml:space="preserve"> is required to adopt rules that specify that an </w:t>
      </w:r>
      <w:r w:rsidR="00E92A45" w:rsidRPr="00A03FE8">
        <w:t xml:space="preserve">owner </w:t>
      </w:r>
      <w:r w:rsidRPr="00A03FE8">
        <w:t xml:space="preserve">may not impose additional charges on a tenant in excess of the actual charges imposed on the </w:t>
      </w:r>
      <w:r w:rsidR="00E92A45" w:rsidRPr="00A03FE8">
        <w:t xml:space="preserve">owner </w:t>
      </w:r>
      <w:r w:rsidRPr="00A03FE8">
        <w:t xml:space="preserve">for utility consumption by the </w:t>
      </w:r>
      <w:r w:rsidR="00E92A45" w:rsidRPr="00A03FE8">
        <w:t>apartment house</w:t>
      </w:r>
      <w:r w:rsidRPr="00A03FE8">
        <w:t>.</w:t>
      </w:r>
    </w:p>
    <w:p w:rsidR="00FD579F" w:rsidRPr="00A03FE8" w:rsidRDefault="00FD579F" w:rsidP="00A03FE8">
      <w:pPr>
        <w:pStyle w:val="COLNumbered"/>
      </w:pPr>
      <w:r w:rsidRPr="00A03FE8">
        <w:t xml:space="preserve">Under 16 TAC § 24.124(a), charges for allocated water utility service may only include bills for water or wastewater from the retail public utility and must not include any fees billed to the </w:t>
      </w:r>
      <w:r w:rsidR="00E92A45" w:rsidRPr="00A03FE8">
        <w:t xml:space="preserve">owner </w:t>
      </w:r>
      <w:r w:rsidRPr="00A03FE8">
        <w:t>by the retail public utility for any deposit, disconnect, reconnect, late payment, or other similar fees.</w:t>
      </w:r>
    </w:p>
    <w:p w:rsidR="00FD579F" w:rsidRPr="00A03FE8" w:rsidRDefault="00FD579F" w:rsidP="00A03FE8">
      <w:pPr>
        <w:pStyle w:val="COLNumbered"/>
      </w:pPr>
      <w:r w:rsidRPr="00A03FE8">
        <w:t>Under 16 TAC § 24.124(e)(</w:t>
      </w:r>
      <w:r w:rsidR="00E92A45">
        <w:t>2)(A)(i), to calculate a tenant’</w:t>
      </w:r>
      <w:r w:rsidRPr="00A03FE8">
        <w:t xml:space="preserve">s bill, the </w:t>
      </w:r>
      <w:r w:rsidR="00E92A45" w:rsidRPr="00A03FE8">
        <w:t xml:space="preserve">owner </w:t>
      </w:r>
      <w:r w:rsidRPr="00A03FE8">
        <w:t>shall multiply the amount established in 16 TAC § 24.124(e)(1) by the nu</w:t>
      </w:r>
      <w:r w:rsidR="00E92A45">
        <w:t>mber of occupants in the tenant’</w:t>
      </w:r>
      <w:r w:rsidRPr="00A03FE8">
        <w:t>s dwelling unit divided by the total number of occupants in all dwelling units at the beginning of the month for which bills are being rendered.</w:t>
      </w:r>
    </w:p>
    <w:p w:rsidR="00FD579F" w:rsidRPr="009B6671" w:rsidRDefault="00FD579F" w:rsidP="009B6671">
      <w:pPr>
        <w:pStyle w:val="COLNumbered"/>
      </w:pPr>
      <w:r w:rsidRPr="009B6671">
        <w:t>Under 16 TAC § 24.124(e)(3), for move-ins</w:t>
      </w:r>
      <w:r w:rsidR="00E92A45" w:rsidRPr="009B6671">
        <w:t>,</w:t>
      </w:r>
      <w:r w:rsidR="00E92A45" w:rsidRPr="003725E0">
        <w:rPr>
          <w:rStyle w:val="FootnoteReference"/>
          <w:szCs w:val="24"/>
        </w:rPr>
        <w:footnoteReference w:id="4"/>
      </w:r>
      <w:r w:rsidR="009B6671" w:rsidRPr="009B6671">
        <w:t xml:space="preserve"> </w:t>
      </w:r>
      <w:r w:rsidRPr="009B6671">
        <w:t xml:space="preserve">the </w:t>
      </w:r>
      <w:r w:rsidR="009B6671" w:rsidRPr="009B6671">
        <w:t xml:space="preserve">owner </w:t>
      </w:r>
      <w:r w:rsidRPr="009B6671">
        <w:t>must calculate the bill "as if the tenant were there for the whole month."</w:t>
      </w:r>
      <w:r w:rsidR="00194905">
        <w:t xml:space="preserve"> </w:t>
      </w:r>
      <w:r w:rsidRPr="009B6671">
        <w:t xml:space="preserve"> Thus, a move-in counts as a whole occupant instead of a percentage or fraction of an occupant.</w:t>
      </w:r>
    </w:p>
    <w:p w:rsidR="00FD579F" w:rsidRPr="00A03FE8" w:rsidRDefault="009B6671" w:rsidP="00A03FE8">
      <w:pPr>
        <w:pStyle w:val="COLNumbered"/>
      </w:pPr>
      <w:r>
        <w:t>To determine a move-in’</w:t>
      </w:r>
      <w:r w:rsidR="00FD579F" w:rsidRPr="00A03FE8">
        <w:t xml:space="preserve">s utility bill total, under 16 TAC § 24.124(e)(3), an </w:t>
      </w:r>
      <w:r w:rsidRPr="00A03FE8">
        <w:t xml:space="preserve">owner </w:t>
      </w:r>
      <w:r w:rsidR="00FD579F" w:rsidRPr="00A03FE8">
        <w:t>shall charge the tenant "for only the number of days the tenant lived in the unit divided by the number of days in the month multiplied by the calculated bill."</w:t>
      </w:r>
    </w:p>
    <w:p w:rsidR="00FD579F" w:rsidRPr="00A03FE8" w:rsidRDefault="00FD579F" w:rsidP="00A03FE8">
      <w:pPr>
        <w:pStyle w:val="COLNumbered"/>
      </w:pPr>
      <w:r w:rsidRPr="00A03FE8">
        <w:t>Under 16 TAC § 24.124(e)(3), "[i</w:t>
      </w:r>
      <w:r w:rsidR="009B6671">
        <w:t>]</w:t>
      </w:r>
      <w:r w:rsidRPr="00A03FE8">
        <w:t xml:space="preserve">f a tenant moves out during a billing period before the </w:t>
      </w:r>
      <w:r w:rsidR="009B6671" w:rsidRPr="00A03FE8">
        <w:t xml:space="preserve">owner </w:t>
      </w:r>
      <w:r w:rsidRPr="00A03FE8">
        <w:t xml:space="preserve">receives the bill for that period from the retail public utility, the </w:t>
      </w:r>
      <w:r w:rsidR="009B6671" w:rsidRPr="00A03FE8">
        <w:t xml:space="preserve">owner </w:t>
      </w:r>
      <w:r w:rsidRPr="00A03FE8">
        <w:t>may calculate a final bill.</w:t>
      </w:r>
      <w:r w:rsidR="009B6671">
        <w:t xml:space="preserve"> </w:t>
      </w:r>
      <w:r w:rsidRPr="00A03FE8">
        <w:t xml:space="preserve"> The </w:t>
      </w:r>
      <w:r w:rsidR="009B6671" w:rsidRPr="00A03FE8">
        <w:t xml:space="preserve">owner </w:t>
      </w:r>
      <w:r w:rsidR="009B6671">
        <w:t>may calculate the tenant’</w:t>
      </w:r>
      <w:r w:rsidRPr="00A03FE8">
        <w:t>s</w:t>
      </w:r>
      <w:r w:rsidR="009B6671">
        <w:t xml:space="preserve"> bill by calculating the tenant’</w:t>
      </w:r>
      <w:r w:rsidRPr="00A03FE8">
        <w:t>s average bill for the last three months and multiplying that average bill by the number of days the tenant was in the unit divided by the number of days in that month."</w:t>
      </w:r>
    </w:p>
    <w:p w:rsidR="00FD579F" w:rsidRPr="00A03FE8" w:rsidRDefault="00FD579F" w:rsidP="00A03FE8">
      <w:pPr>
        <w:pStyle w:val="COLNumbered"/>
      </w:pPr>
      <w:r w:rsidRPr="00A03FE8">
        <w:t xml:space="preserve">Under 16 TAC § 24.125(i), an </w:t>
      </w:r>
      <w:r w:rsidR="009B6671" w:rsidRPr="00A03FE8">
        <w:t xml:space="preserve">apartment house </w:t>
      </w:r>
      <w:r w:rsidRPr="00A03FE8">
        <w:t>may estimate bills when t</w:t>
      </w:r>
      <w:r w:rsidR="009B6671">
        <w:t>here is an issue reading a unit’</w:t>
      </w:r>
      <w:r w:rsidR="003725E0">
        <w:t>s meter.  A</w:t>
      </w:r>
      <w:r w:rsidRPr="00A03FE8">
        <w:t>n estimated bill "must be distinctly marked as an estimate and the subsequent bill must reflect an adjustment for actual charges."</w:t>
      </w:r>
    </w:p>
    <w:p w:rsidR="00FD579F" w:rsidRPr="00A03FE8" w:rsidRDefault="00FD579F" w:rsidP="00A03FE8">
      <w:pPr>
        <w:pStyle w:val="COLNumbered"/>
      </w:pPr>
      <w:r w:rsidRPr="00A03FE8">
        <w:t>Under 16 TAC §§ 24.124(c), if the retail public utility</w:t>
      </w:r>
      <w:r w:rsidR="009B6671">
        <w:t>’</w:t>
      </w:r>
      <w:r w:rsidRPr="00A03FE8">
        <w:t xml:space="preserve">s rate structure includes a customer service charge, the </w:t>
      </w:r>
      <w:r w:rsidR="009B6671" w:rsidRPr="00A03FE8">
        <w:t xml:space="preserve">owner </w:t>
      </w:r>
      <w:r w:rsidRPr="00A03FE8">
        <w:t>is required to bill each dwelling unit the amount of the customer service charge divided by the total number of dwelling units, including vacant units, that can receive service through the master meter serving the tenants.</w:t>
      </w:r>
    </w:p>
    <w:p w:rsidR="00FD579F" w:rsidRPr="00A03FE8" w:rsidRDefault="00FD579F" w:rsidP="00A03FE8">
      <w:pPr>
        <w:pStyle w:val="COLNumbered"/>
      </w:pPr>
      <w:r w:rsidRPr="00A03FE8">
        <w:t xml:space="preserve">Under 16 TAC §§ 24.124(e)(1)(A) and (B), an </w:t>
      </w:r>
      <w:r w:rsidR="009B6671" w:rsidRPr="00A03FE8">
        <w:t xml:space="preserve">owner </w:t>
      </w:r>
      <w:r w:rsidRPr="00A03FE8">
        <w:t>must deduct the customer service charge and common area usage</w:t>
      </w:r>
      <w:r w:rsidR="009B6671">
        <w:t xml:space="preserve"> from the retail public utility’</w:t>
      </w:r>
      <w:r w:rsidRPr="00A03FE8">
        <w:t>s master meter bill for water and sewer service to tenants before allocating the bill to tenants.</w:t>
      </w:r>
    </w:p>
    <w:p w:rsidR="00FD579F" w:rsidRPr="00A03FE8" w:rsidRDefault="00FD579F" w:rsidP="00A03FE8">
      <w:pPr>
        <w:pStyle w:val="COLNumbered"/>
      </w:pPr>
      <w:r w:rsidRPr="00A03FE8">
        <w:t>Under 16 TAC § 24.125(e), if issued on a multi-item bill, charges for submetered or allocated utility service must be separate and distinct from any other charges on the bill.</w:t>
      </w:r>
    </w:p>
    <w:p w:rsidR="00FD579F" w:rsidRPr="00A03FE8" w:rsidRDefault="00FD579F" w:rsidP="00A03FE8">
      <w:pPr>
        <w:pStyle w:val="COLNumbered"/>
      </w:pPr>
      <w:r w:rsidRPr="00A03FE8">
        <w:t xml:space="preserve">Under 16 TAC § 24.125(k), "if a bill is issued and subsequently found to be in error, the </w:t>
      </w:r>
      <w:r w:rsidR="009B6671" w:rsidRPr="00A03FE8">
        <w:t xml:space="preserve">owner </w:t>
      </w:r>
      <w:r w:rsidRPr="00A03FE8">
        <w:t>shall calculate a billing adjustment. If the tenant is due a refund, an adjustment must be c</w:t>
      </w:r>
      <w:r w:rsidR="009B6671">
        <w:t>alculated for all of the tenant’</w:t>
      </w:r>
      <w:r w:rsidRPr="00A03FE8">
        <w:t>s bills that included overcharges.</w:t>
      </w:r>
      <w:r w:rsidR="009B6671">
        <w:t xml:space="preserve"> </w:t>
      </w:r>
      <w:r w:rsidRPr="00A03FE8">
        <w:t xml:space="preserve"> If the overbilling or underbilling affects all tenants, an adjustment must be ca</w:t>
      </w:r>
      <w:r w:rsidR="009B6671">
        <w:t>lculated for all of the tenants’</w:t>
      </w:r>
      <w:r w:rsidRPr="00A03FE8">
        <w:t xml:space="preserve"> bills."</w:t>
      </w:r>
    </w:p>
    <w:p w:rsidR="009B6671" w:rsidRPr="000B3A58" w:rsidRDefault="009B6671" w:rsidP="009B6671">
      <w:pPr>
        <w:pStyle w:val="COLNumbered"/>
      </w:pPr>
      <w:r w:rsidRPr="000B3A58">
        <w:t xml:space="preserve">The agreement is a report of settlement to the Commission </w:t>
      </w:r>
      <w:r w:rsidRPr="000B3A58">
        <w:rPr>
          <w:bCs/>
        </w:rPr>
        <w:t>as required by</w:t>
      </w:r>
      <w:r w:rsidRPr="000B3A58">
        <w:t xml:space="preserve"> 16 TAC § 22.246(h).</w:t>
      </w:r>
    </w:p>
    <w:p w:rsidR="00FD579F" w:rsidRPr="00A03FE8" w:rsidRDefault="009B6671" w:rsidP="009B6671">
      <w:pPr>
        <w:pStyle w:val="COLNumbered"/>
      </w:pPr>
      <w:r w:rsidRPr="000B3A58">
        <w:t>This docket was processed in accordance with applicable statutes and Commission rules.</w:t>
      </w:r>
    </w:p>
    <w:p w:rsidR="00FD579F" w:rsidRDefault="00FD579F" w:rsidP="009B6671">
      <w:pPr>
        <w:pStyle w:val="COLNumbered"/>
      </w:pPr>
      <w:r w:rsidRPr="00A03FE8">
        <w:t xml:space="preserve">The requirements for informal disposition </w:t>
      </w:r>
      <w:r w:rsidR="009B6671">
        <w:t>in</w:t>
      </w:r>
      <w:r w:rsidRPr="00A03FE8">
        <w:t xml:space="preserve"> 16 TAC § 22.35 have been met in this proceeding.</w:t>
      </w:r>
    </w:p>
    <w:p w:rsidR="00EE5DDA" w:rsidRPr="00255180" w:rsidRDefault="00EE5DDA" w:rsidP="00255180">
      <w:pPr>
        <w:pStyle w:val="Heading1"/>
        <w:rPr>
          <w:rFonts w:cs="Times New Roman"/>
          <w:szCs w:val="24"/>
        </w:rPr>
      </w:pPr>
      <w:r w:rsidRPr="00255180">
        <w:rPr>
          <w:rFonts w:cs="Times New Roman"/>
          <w:szCs w:val="24"/>
        </w:rPr>
        <w:t>Ordering Paragraphs</w:t>
      </w:r>
    </w:p>
    <w:p w:rsidR="008D1724" w:rsidRPr="00255180" w:rsidRDefault="008D1724" w:rsidP="00255180">
      <w:pPr>
        <w:pStyle w:val="BodyText"/>
      </w:pPr>
      <w:r w:rsidRPr="00255180">
        <w:t>In accordance with these findings of fact and conclusions of law, the Commission issues the following orders:</w:t>
      </w:r>
    </w:p>
    <w:p w:rsidR="006B638A" w:rsidRPr="00255180" w:rsidRDefault="006B638A" w:rsidP="006B2199">
      <w:pPr>
        <w:pStyle w:val="OrderingParagraph"/>
      </w:pPr>
      <w:r w:rsidRPr="00255180">
        <w:t>The agreement, provided with this Orde</w:t>
      </w:r>
      <w:r w:rsidR="00CA3076" w:rsidRPr="00255180">
        <w:t xml:space="preserve">r as Attachment 1, is approved </w:t>
      </w:r>
      <w:r w:rsidRPr="00255180">
        <w:t xml:space="preserve">and the parties shall be bound by its terms.  </w:t>
      </w:r>
    </w:p>
    <w:p w:rsidR="006B638A" w:rsidRDefault="006B2199" w:rsidP="006B2199">
      <w:pPr>
        <w:pStyle w:val="OrderingParagraph"/>
      </w:pPr>
      <w:r>
        <w:t>Within 30 calendar days after the date this Order is signed, Hunt Club, through its billing agent, Hocutt, shall refund each of the 698 current and former tenants affected by Hocutt’s billing miscalculations from September 1, 2015 to January 31, 2017, in accordance with the amount established in Attachment 2 to the agreement. For any refunds that are returned or remain uncashed, Hocutt shall remit the funds to the State of Texas through the unclaimed property procedures in accordance with Title 6 of the Texas Property Code and guidelines established by the Comptroller of Texas.</w:t>
      </w:r>
    </w:p>
    <w:p w:rsidR="006B2199" w:rsidRDefault="006B2199" w:rsidP="006B2199">
      <w:pPr>
        <w:pStyle w:val="OrderingParagraph"/>
      </w:pPr>
      <w:r>
        <w:t>Hunt Club’s billing agent, Hocutt, shall file an affidavit of payment in this docket no later than five calendar days after checks are mailed to the 698 customers.</w:t>
      </w:r>
    </w:p>
    <w:p w:rsidR="006B638A" w:rsidRPr="00255180" w:rsidRDefault="006B2199" w:rsidP="006B2199">
      <w:pPr>
        <w:pStyle w:val="OrderingParagraph"/>
      </w:pPr>
      <w:r>
        <w:t xml:space="preserve">The </w:t>
      </w:r>
      <w:r w:rsidR="006B638A" w:rsidRPr="00255180">
        <w:t>Commission shall not be constrained in any manner from requiring additional action or penalties for violations that are not raised here.</w:t>
      </w:r>
    </w:p>
    <w:p w:rsidR="006B638A" w:rsidRPr="00255180" w:rsidRDefault="006B638A" w:rsidP="006B2199">
      <w:pPr>
        <w:pStyle w:val="OrderingParagraph"/>
      </w:pPr>
      <w:r w:rsidRPr="00255180">
        <w:t>Entry of this Order does not indicate the Commission’s endorsement or approval of any principle or methodology that may underlie the agreement.  Entry of this Order shall not be regarded as a binding holding or precedent as to the appropriateness of any principle or methodology underlying the agreement.</w:t>
      </w:r>
    </w:p>
    <w:p w:rsidR="00EE5DDA" w:rsidRPr="00255180" w:rsidRDefault="006B638A" w:rsidP="006B2199">
      <w:pPr>
        <w:pStyle w:val="OrderingParagraph"/>
      </w:pPr>
      <w:r w:rsidRPr="00255180">
        <w:t>All other motions and any other requests for general or specific relief, if not expressly granted, are denied.</w:t>
      </w:r>
    </w:p>
    <w:p w:rsidR="0006484B" w:rsidRDefault="0006484B">
      <w:pPr>
        <w:spacing w:after="160" w:line="259" w:lineRule="auto"/>
        <w:rPr>
          <w:b/>
        </w:rPr>
      </w:pPr>
      <w:r>
        <w:rPr>
          <w:b/>
        </w:rPr>
        <w:br w:type="page"/>
      </w:r>
    </w:p>
    <w:p w:rsidR="00160DCD" w:rsidRPr="00255180" w:rsidRDefault="00160DCD" w:rsidP="006B2199">
      <w:pPr>
        <w:spacing w:after="240"/>
        <w:ind w:firstLine="720"/>
        <w:rPr>
          <w:b/>
        </w:rPr>
      </w:pPr>
      <w:r w:rsidRPr="00255180">
        <w:rPr>
          <w:b/>
        </w:rPr>
        <w:t xml:space="preserve">Signed at Austin, Texas the ______ day of </w:t>
      </w:r>
      <w:r w:rsidR="006B2199">
        <w:rPr>
          <w:b/>
        </w:rPr>
        <w:t>March</w:t>
      </w:r>
      <w:r w:rsidR="006B638A" w:rsidRPr="00255180">
        <w:rPr>
          <w:b/>
        </w:rPr>
        <w:t xml:space="preserve"> 2018</w:t>
      </w:r>
      <w:r w:rsidR="008D1724" w:rsidRPr="00255180">
        <w:rPr>
          <w:b/>
        </w:rPr>
        <w:t>.</w:t>
      </w:r>
    </w:p>
    <w:p w:rsidR="00160DCD" w:rsidRPr="00255180" w:rsidRDefault="00160DCD" w:rsidP="006B2199">
      <w:pPr>
        <w:pStyle w:val="Signatures"/>
        <w:ind w:left="3600" w:firstLine="360"/>
      </w:pPr>
      <w:r w:rsidRPr="00255180">
        <w:t>PUBLIC UTILITY COMMISSION OF TEXAS</w:t>
      </w:r>
    </w:p>
    <w:p w:rsidR="00160DCD" w:rsidRPr="00255180" w:rsidRDefault="00160DCD" w:rsidP="00255180">
      <w:pPr>
        <w:pStyle w:val="Signatures"/>
        <w:ind w:left="0"/>
      </w:pPr>
    </w:p>
    <w:p w:rsidR="00160DCD" w:rsidRPr="00255180" w:rsidRDefault="00160DCD" w:rsidP="00255180">
      <w:pPr>
        <w:pStyle w:val="Signatures"/>
        <w:ind w:left="0"/>
      </w:pPr>
    </w:p>
    <w:p w:rsidR="00160DCD" w:rsidRPr="00255180" w:rsidRDefault="00160DCD" w:rsidP="00255180">
      <w:pPr>
        <w:pStyle w:val="Signatures"/>
        <w:ind w:left="0"/>
      </w:pPr>
    </w:p>
    <w:p w:rsidR="00160DCD" w:rsidRPr="00255180" w:rsidRDefault="006B2199" w:rsidP="006B2199">
      <w:pPr>
        <w:pStyle w:val="Signatures"/>
        <w:ind w:left="3600" w:firstLine="360"/>
      </w:pPr>
      <w:r>
        <w:t>___</w:t>
      </w:r>
      <w:r w:rsidR="00160DCD" w:rsidRPr="00255180">
        <w:t>__________</w:t>
      </w:r>
      <w:r>
        <w:t>________________________________</w:t>
      </w:r>
    </w:p>
    <w:p w:rsidR="00160DCD" w:rsidRPr="00255180" w:rsidRDefault="00160DCD" w:rsidP="006B2199">
      <w:pPr>
        <w:pStyle w:val="Signatures"/>
        <w:ind w:left="3600" w:firstLine="360"/>
      </w:pPr>
      <w:r w:rsidRPr="00255180">
        <w:t>D</w:t>
      </w:r>
      <w:r w:rsidR="003729E5" w:rsidRPr="00255180">
        <w:t>EANN</w:t>
      </w:r>
      <w:r w:rsidRPr="00255180">
        <w:t xml:space="preserve"> </w:t>
      </w:r>
      <w:r w:rsidR="003729E5" w:rsidRPr="00255180">
        <w:t>T</w:t>
      </w:r>
      <w:r w:rsidRPr="00255180">
        <w:t xml:space="preserve">. </w:t>
      </w:r>
      <w:r w:rsidR="003729E5" w:rsidRPr="00255180">
        <w:t>WALKER</w:t>
      </w:r>
      <w:r w:rsidRPr="00255180">
        <w:t>, CHAIRMAN</w:t>
      </w:r>
    </w:p>
    <w:p w:rsidR="00160DCD" w:rsidRPr="00255180" w:rsidRDefault="00160DCD" w:rsidP="00255180">
      <w:pPr>
        <w:pStyle w:val="Signatures"/>
        <w:ind w:left="0"/>
      </w:pPr>
    </w:p>
    <w:p w:rsidR="00160DCD" w:rsidRPr="00255180" w:rsidRDefault="00160DCD" w:rsidP="00255180">
      <w:pPr>
        <w:pStyle w:val="Signatures"/>
        <w:ind w:left="0"/>
      </w:pPr>
    </w:p>
    <w:p w:rsidR="00160DCD" w:rsidRPr="00255180" w:rsidRDefault="00160DCD" w:rsidP="00255180">
      <w:pPr>
        <w:pStyle w:val="Signatures"/>
        <w:ind w:left="0"/>
      </w:pPr>
    </w:p>
    <w:p w:rsidR="00160DCD" w:rsidRPr="00255180" w:rsidRDefault="00160DCD" w:rsidP="006B2199">
      <w:pPr>
        <w:pStyle w:val="Signatures"/>
        <w:ind w:left="3600" w:firstLine="360"/>
      </w:pPr>
      <w:r w:rsidRPr="00255180">
        <w:t>__________________________________________</w:t>
      </w:r>
      <w:r w:rsidR="006B2199">
        <w:t>___</w:t>
      </w:r>
    </w:p>
    <w:p w:rsidR="00160DCD" w:rsidRPr="00255180" w:rsidRDefault="00DC3E65" w:rsidP="006B2199">
      <w:pPr>
        <w:pStyle w:val="Signatures"/>
        <w:ind w:left="3600" w:firstLine="360"/>
      </w:pPr>
      <w:r w:rsidRPr="00255180">
        <w:t>BRANDY MARTY MARQUEZ</w:t>
      </w:r>
      <w:r w:rsidR="00160DCD" w:rsidRPr="00255180">
        <w:t>, COMMISSIONER</w:t>
      </w:r>
    </w:p>
    <w:p w:rsidR="00160DCD" w:rsidRPr="00255180" w:rsidRDefault="00160DCD" w:rsidP="00255180">
      <w:pPr>
        <w:pStyle w:val="Signatures"/>
        <w:ind w:left="0"/>
      </w:pPr>
    </w:p>
    <w:p w:rsidR="00160DCD" w:rsidRPr="00255180" w:rsidRDefault="00160DCD" w:rsidP="00255180">
      <w:pPr>
        <w:pStyle w:val="Signatures"/>
        <w:ind w:left="0"/>
      </w:pPr>
    </w:p>
    <w:p w:rsidR="00160DCD" w:rsidRPr="00255180" w:rsidRDefault="00160DCD" w:rsidP="00255180">
      <w:pPr>
        <w:pStyle w:val="Signatures"/>
        <w:ind w:left="0"/>
      </w:pPr>
    </w:p>
    <w:p w:rsidR="00160DCD" w:rsidRPr="00255180" w:rsidRDefault="00FF1816" w:rsidP="006B2199">
      <w:pPr>
        <w:pStyle w:val="Signatures"/>
        <w:ind w:left="2880" w:firstLine="1080"/>
      </w:pPr>
      <w:r w:rsidRPr="00255180">
        <w:t>______________</w:t>
      </w:r>
      <w:r w:rsidR="006B2199">
        <w:t>_______________________________</w:t>
      </w:r>
    </w:p>
    <w:p w:rsidR="00160DCD" w:rsidRPr="00255180" w:rsidRDefault="00DC3E65" w:rsidP="006B2199">
      <w:pPr>
        <w:pStyle w:val="Signatures"/>
        <w:ind w:left="3240" w:firstLine="720"/>
      </w:pPr>
      <w:r w:rsidRPr="00255180">
        <w:t>ARTHUR C. D’ANDREA</w:t>
      </w:r>
      <w:r w:rsidR="00160DCD" w:rsidRPr="00255180">
        <w:t>, COMMISSIONER</w:t>
      </w:r>
    </w:p>
    <w:p w:rsidR="00160DCD" w:rsidRDefault="00160DCD" w:rsidP="00255180"/>
    <w:p w:rsidR="006F4297" w:rsidRPr="00255180" w:rsidRDefault="006F4297" w:rsidP="00255180"/>
    <w:p w:rsidR="00160DCD" w:rsidRPr="006B2199" w:rsidRDefault="0059681D" w:rsidP="00255180">
      <w:pPr>
        <w:pStyle w:val="EndMatter"/>
        <w:rPr>
          <w:sz w:val="16"/>
          <w:szCs w:val="16"/>
        </w:rPr>
      </w:pPr>
      <w:r w:rsidRPr="006B2199">
        <w:rPr>
          <w:sz w:val="16"/>
          <w:szCs w:val="16"/>
        </w:rPr>
        <w:fldChar w:fldCharType="begin"/>
      </w:r>
      <w:r w:rsidRPr="006B2199">
        <w:rPr>
          <w:sz w:val="16"/>
          <w:szCs w:val="16"/>
        </w:rPr>
        <w:instrText xml:space="preserve"> FILENAME  \* Lower \p  \* MERGEFORMAT </w:instrText>
      </w:r>
      <w:r w:rsidRPr="006B2199">
        <w:rPr>
          <w:sz w:val="16"/>
          <w:szCs w:val="16"/>
        </w:rPr>
        <w:fldChar w:fldCharType="separate"/>
      </w:r>
      <w:r w:rsidR="00F136EE" w:rsidRPr="006B2199">
        <w:rPr>
          <w:noProof/>
          <w:sz w:val="16"/>
          <w:szCs w:val="16"/>
        </w:rPr>
        <w:t>q:\cadm\docket management\water\nov\48038 po.docx</w:t>
      </w:r>
      <w:r w:rsidRPr="006B2199">
        <w:rPr>
          <w:noProof/>
          <w:sz w:val="16"/>
          <w:szCs w:val="16"/>
        </w:rPr>
        <w:fldChar w:fldCharType="end"/>
      </w:r>
    </w:p>
    <w:sectPr w:rsidR="00160DCD" w:rsidRPr="006B2199" w:rsidSect="00297EBA">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9E7" w:rsidRDefault="00EE09E7" w:rsidP="00D03394">
      <w:r>
        <w:separator/>
      </w:r>
    </w:p>
  </w:endnote>
  <w:endnote w:type="continuationSeparator" w:id="0">
    <w:p w:rsidR="00EE09E7" w:rsidRDefault="00EE09E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9E7" w:rsidRDefault="00EE09E7" w:rsidP="00D03394">
      <w:r>
        <w:separator/>
      </w:r>
    </w:p>
  </w:footnote>
  <w:footnote w:type="continuationSeparator" w:id="0">
    <w:p w:rsidR="00EE09E7" w:rsidRDefault="00EE09E7" w:rsidP="00D03394">
      <w:r>
        <w:continuationSeparator/>
      </w:r>
    </w:p>
  </w:footnote>
  <w:footnote w:id="1">
    <w:p w:rsidR="00770609" w:rsidRDefault="00770609">
      <w:pPr>
        <w:pStyle w:val="FootnoteText"/>
      </w:pPr>
      <w:r>
        <w:rPr>
          <w:rStyle w:val="FootnoteReference"/>
        </w:rPr>
        <w:footnoteRef/>
      </w:r>
      <w:r>
        <w:t xml:space="preserve"> O&amp;E Staff uses the term “move-out(s)” for tenants who have moved out of the apartment house.</w:t>
      </w:r>
    </w:p>
  </w:footnote>
  <w:footnote w:id="2">
    <w:p w:rsidR="00A253A6" w:rsidRDefault="00A253A6" w:rsidP="00A253A6">
      <w:pPr>
        <w:pStyle w:val="FootnoteText"/>
        <w:jc w:val="both"/>
      </w:pPr>
      <w:r>
        <w:rPr>
          <w:rStyle w:val="FootnoteReference"/>
        </w:rPr>
        <w:footnoteRef/>
      </w:r>
      <w:r>
        <w:t xml:space="preserve"> Attachment 2 to the agreement is a disc containing confidential information filed on February 8, 2018.</w:t>
      </w:r>
    </w:p>
  </w:footnote>
  <w:footnote w:id="3">
    <w:p w:rsidR="00CA3419" w:rsidRDefault="00CA3419" w:rsidP="00CA3419">
      <w:pPr>
        <w:pStyle w:val="FootnoteText"/>
        <w:spacing w:after="120"/>
      </w:pPr>
      <w:r>
        <w:rPr>
          <w:rStyle w:val="FootnoteReference"/>
        </w:rPr>
        <w:footnoteRef/>
      </w:r>
      <w:r>
        <w:t xml:space="preserve"> Tex. Water Code Ann. § 13.041 (West 2008 &amp; Supp. 2017) (TWC).</w:t>
      </w:r>
    </w:p>
  </w:footnote>
  <w:footnote w:id="4">
    <w:p w:rsidR="00E92A45" w:rsidRDefault="00E92A45">
      <w:pPr>
        <w:pStyle w:val="FootnoteText"/>
      </w:pPr>
      <w:r>
        <w:rPr>
          <w:rStyle w:val="FootnoteReference"/>
        </w:rPr>
        <w:footnoteRef/>
      </w:r>
      <w:r>
        <w:t xml:space="preserve"> O&amp;E Staff uses the term “move-in(s)” for tenants who are moving into the apartment house.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A03FE8">
    <w:pPr>
      <w:pStyle w:val="Header"/>
      <w:tabs>
        <w:tab w:val="clear" w:pos="4680"/>
        <w:tab w:val="center" w:pos="4950"/>
      </w:tabs>
    </w:pPr>
    <w:r>
      <w:t>Docket No. </w:t>
    </w:r>
    <w:r w:rsidR="00A03FE8">
      <w:t>48038</w:t>
    </w:r>
    <w:r>
      <w:tab/>
    </w:r>
    <w:r w:rsidR="006B638A">
      <w:t>Proposed Order</w:t>
    </w:r>
    <w:r>
      <w:tab/>
      <w:t xml:space="preserve">Page </w:t>
    </w:r>
    <w:r>
      <w:fldChar w:fldCharType="begin"/>
    </w:r>
    <w:r>
      <w:instrText xml:space="preserve"> PAGE   \* MERGEFORMAT </w:instrText>
    </w:r>
    <w:r>
      <w:fldChar w:fldCharType="separate"/>
    </w:r>
    <w:r w:rsidR="009E3C3F">
      <w:rPr>
        <w:noProof/>
      </w:rPr>
      <w:t>8</w:t>
    </w:r>
    <w:r>
      <w:fldChar w:fldCharType="end"/>
    </w:r>
    <w:r>
      <w:t xml:space="preserve"> of </w:t>
    </w:r>
    <w:fldSimple w:instr=" NUMPAGES   \* MERGEFORMAT ">
      <w:r w:rsidR="009E3C3F">
        <w:rPr>
          <w:noProof/>
        </w:rPr>
        <w:t>9</w:t>
      </w:r>
    </w:fldSimple>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44BB0"/>
    <w:multiLevelType w:val="singleLevel"/>
    <w:tmpl w:val="4C022C4E"/>
    <w:lvl w:ilvl="0">
      <w:start w:val="15"/>
      <w:numFmt w:val="decimal"/>
      <w:lvlText w:val="%1."/>
      <w:lvlJc w:val="left"/>
      <w:pPr>
        <w:tabs>
          <w:tab w:val="num" w:pos="792"/>
        </w:tabs>
        <w:ind w:left="792" w:hanging="720"/>
      </w:pPr>
      <w:rPr>
        <w:snapToGrid/>
        <w:sz w:val="24"/>
        <w:szCs w:val="24"/>
      </w:rPr>
    </w:lvl>
  </w:abstractNum>
  <w:abstractNum w:abstractNumId="1" w15:restartNumberingAfterBreak="0">
    <w:nsid w:val="024141FD"/>
    <w:multiLevelType w:val="singleLevel"/>
    <w:tmpl w:val="13A1AFE3"/>
    <w:lvl w:ilvl="0">
      <w:start w:val="3"/>
      <w:numFmt w:val="decimal"/>
      <w:lvlText w:val="%1."/>
      <w:lvlJc w:val="left"/>
      <w:pPr>
        <w:tabs>
          <w:tab w:val="num" w:pos="792"/>
        </w:tabs>
        <w:ind w:left="792" w:hanging="720"/>
      </w:pPr>
      <w:rPr>
        <w:snapToGrid/>
        <w:spacing w:val="-1"/>
        <w:sz w:val="24"/>
        <w:szCs w:val="24"/>
      </w:rPr>
    </w:lvl>
  </w:abstractNum>
  <w:abstractNum w:abstractNumId="2" w15:restartNumberingAfterBreak="0">
    <w:nsid w:val="0349B629"/>
    <w:multiLevelType w:val="singleLevel"/>
    <w:tmpl w:val="524BE496"/>
    <w:lvl w:ilvl="0">
      <w:start w:val="1"/>
      <w:numFmt w:val="decimal"/>
      <w:lvlText w:val="%1."/>
      <w:lvlJc w:val="left"/>
      <w:pPr>
        <w:tabs>
          <w:tab w:val="num" w:pos="792"/>
        </w:tabs>
        <w:ind w:left="792" w:hanging="792"/>
      </w:pPr>
      <w:rPr>
        <w:snapToGrid/>
        <w:sz w:val="24"/>
        <w:szCs w:val="24"/>
      </w:rPr>
    </w:lvl>
  </w:abstractNum>
  <w:abstractNum w:abstractNumId="3" w15:restartNumberingAfterBreak="0">
    <w:nsid w:val="048ACDEF"/>
    <w:multiLevelType w:val="singleLevel"/>
    <w:tmpl w:val="2E615055"/>
    <w:lvl w:ilvl="0">
      <w:start w:val="20"/>
      <w:numFmt w:val="decimal"/>
      <w:lvlText w:val="%1."/>
      <w:lvlJc w:val="left"/>
      <w:pPr>
        <w:tabs>
          <w:tab w:val="num" w:pos="720"/>
        </w:tabs>
        <w:ind w:left="720" w:hanging="720"/>
      </w:pPr>
      <w:rPr>
        <w:snapToGrid/>
        <w:sz w:val="25"/>
        <w:szCs w:val="25"/>
      </w:rPr>
    </w:lvl>
  </w:abstractNum>
  <w:abstractNum w:abstractNumId="4" w15:restartNumberingAfterBreak="0">
    <w:nsid w:val="055B3773"/>
    <w:multiLevelType w:val="singleLevel"/>
    <w:tmpl w:val="1C02CB05"/>
    <w:lvl w:ilvl="0">
      <w:start w:val="8"/>
      <w:numFmt w:val="decimal"/>
      <w:lvlText w:val="%1."/>
      <w:lvlJc w:val="left"/>
      <w:pPr>
        <w:tabs>
          <w:tab w:val="num" w:pos="792"/>
        </w:tabs>
        <w:ind w:left="792" w:hanging="720"/>
      </w:pPr>
      <w:rPr>
        <w:b/>
        <w:bCs/>
        <w:snapToGrid/>
        <w:sz w:val="23"/>
        <w:szCs w:val="23"/>
      </w:rPr>
    </w:lvl>
  </w:abstractNum>
  <w:abstractNum w:abstractNumId="5" w15:restartNumberingAfterBreak="0">
    <w:nsid w:val="05607D59"/>
    <w:multiLevelType w:val="singleLevel"/>
    <w:tmpl w:val="4A789C97"/>
    <w:lvl w:ilvl="0">
      <w:start w:val="12"/>
      <w:numFmt w:val="decimal"/>
      <w:lvlText w:val="%1."/>
      <w:lvlJc w:val="left"/>
      <w:pPr>
        <w:tabs>
          <w:tab w:val="num" w:pos="720"/>
        </w:tabs>
        <w:ind w:left="720" w:hanging="648"/>
      </w:pPr>
      <w:rPr>
        <w:snapToGrid/>
        <w:sz w:val="25"/>
        <w:szCs w:val="25"/>
      </w:rPr>
    </w:lvl>
  </w:abstractNum>
  <w:abstractNum w:abstractNumId="6" w15:restartNumberingAfterBreak="0">
    <w:nsid w:val="0602A944"/>
    <w:multiLevelType w:val="singleLevel"/>
    <w:tmpl w:val="50725D3B"/>
    <w:lvl w:ilvl="0">
      <w:start w:val="1"/>
      <w:numFmt w:val="decimal"/>
      <w:lvlText w:val="%1."/>
      <w:lvlJc w:val="left"/>
      <w:pPr>
        <w:tabs>
          <w:tab w:val="num" w:pos="792"/>
        </w:tabs>
        <w:ind w:left="792" w:hanging="720"/>
      </w:pPr>
      <w:rPr>
        <w:snapToGrid/>
        <w:sz w:val="25"/>
        <w:szCs w:val="25"/>
      </w:rPr>
    </w:lvl>
  </w:abstractNum>
  <w:abstractNum w:abstractNumId="7" w15:restartNumberingAfterBreak="0">
    <w:nsid w:val="06F009CE"/>
    <w:multiLevelType w:val="singleLevel"/>
    <w:tmpl w:val="35BECEF9"/>
    <w:lvl w:ilvl="0">
      <w:start w:val="30"/>
      <w:numFmt w:val="decimal"/>
      <w:lvlText w:val="%1."/>
      <w:lvlJc w:val="left"/>
      <w:pPr>
        <w:tabs>
          <w:tab w:val="num" w:pos="792"/>
        </w:tabs>
        <w:ind w:left="792" w:hanging="720"/>
      </w:pPr>
      <w:rPr>
        <w:snapToGrid/>
        <w:spacing w:val="-4"/>
        <w:sz w:val="25"/>
        <w:szCs w:val="25"/>
      </w:rPr>
    </w:lvl>
  </w:abstractNum>
  <w:abstractNum w:abstractNumId="8"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9" w15:restartNumberingAfterBreak="0">
    <w:nsid w:val="12574FE4"/>
    <w:multiLevelType w:val="hybridMultilevel"/>
    <w:tmpl w:val="9000CE0C"/>
    <w:lvl w:ilvl="0" w:tplc="2DB6283A">
      <w:start w:val="1"/>
      <w:numFmt w:val="decimal"/>
      <w:lvlText w:val="%1."/>
      <w:lvlJc w:val="left"/>
      <w:pPr>
        <w:tabs>
          <w:tab w:val="num" w:pos="720"/>
        </w:tabs>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C33F5E"/>
    <w:multiLevelType w:val="hybridMultilevel"/>
    <w:tmpl w:val="6ABE715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3" w15:restartNumberingAfterBreak="0">
    <w:nsid w:val="42E03BB4"/>
    <w:multiLevelType w:val="hybridMultilevel"/>
    <w:tmpl w:val="430457C2"/>
    <w:lvl w:ilvl="0" w:tplc="0409000F">
      <w:start w:val="1"/>
      <w:numFmt w:val="decimal"/>
      <w:lvlText w:val="%1."/>
      <w:lvlJc w:val="left"/>
      <w:pPr>
        <w:ind w:left="1800" w:hanging="360"/>
      </w:pPr>
    </w:lvl>
    <w:lvl w:ilvl="1" w:tplc="270C72A0">
      <w:start w:val="1"/>
      <w:numFmt w:val="lowerLetter"/>
      <w:lvlText w:val="%2."/>
      <w:lvlJc w:val="left"/>
      <w:pPr>
        <w:ind w:left="1620" w:hanging="360"/>
      </w:pPr>
      <w:rPr>
        <w:color w:val="000000" w:themeColor="text1"/>
        <w:sz w:val="24"/>
        <w:szCs w:val="22"/>
      </w:rPr>
    </w:lvl>
    <w:lvl w:ilvl="2" w:tplc="0409001B">
      <w:start w:val="1"/>
      <w:numFmt w:val="lowerRoman"/>
      <w:lvlText w:val="%3."/>
      <w:lvlJc w:val="right"/>
      <w:pPr>
        <w:ind w:left="198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9F737E"/>
    <w:multiLevelType w:val="hybridMultilevel"/>
    <w:tmpl w:val="38D81E4C"/>
    <w:lvl w:ilvl="0" w:tplc="C7DE1B56">
      <w:start w:val="4"/>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8" w15:restartNumberingAfterBreak="0">
    <w:nsid w:val="7B0969F0"/>
    <w:multiLevelType w:val="hybridMultilevel"/>
    <w:tmpl w:val="995E347C"/>
    <w:lvl w:ilvl="0" w:tplc="211A62D4">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2"/>
  </w:num>
  <w:num w:numId="3">
    <w:abstractNumId w:val="8"/>
  </w:num>
  <w:num w:numId="4">
    <w:abstractNumId w:val="17"/>
  </w:num>
  <w:num w:numId="5">
    <w:abstractNumId w:val="12"/>
  </w:num>
  <w:num w:numId="6">
    <w:abstractNumId w:val="14"/>
  </w:num>
  <w:num w:numId="7">
    <w:abstractNumId w:val="16"/>
  </w:num>
  <w:num w:numId="8">
    <w:abstractNumId w:val="13"/>
  </w:num>
  <w:num w:numId="9">
    <w:abstractNumId w:val="10"/>
  </w:num>
  <w:num w:numId="10">
    <w:abstractNumId w:val="14"/>
    <w:lvlOverride w:ilvl="0">
      <w:startOverride w:val="1"/>
    </w:lvlOverride>
  </w:num>
  <w:num w:numId="11">
    <w:abstractNumId w:val="9"/>
  </w:num>
  <w:num w:numId="12">
    <w:abstractNumId w:val="15"/>
  </w:num>
  <w:num w:numId="13">
    <w:abstractNumId w:val="18"/>
  </w:num>
  <w:num w:numId="14">
    <w:abstractNumId w:val="2"/>
  </w:num>
  <w:num w:numId="15">
    <w:abstractNumId w:val="1"/>
  </w:num>
  <w:num w:numId="16">
    <w:abstractNumId w:val="5"/>
  </w:num>
  <w:num w:numId="17">
    <w:abstractNumId w:val="3"/>
  </w:num>
  <w:num w:numId="18">
    <w:abstractNumId w:val="7"/>
  </w:num>
  <w:num w:numId="19">
    <w:abstractNumId w:val="7"/>
    <w:lvlOverride w:ilvl="0">
      <w:lvl w:ilvl="0">
        <w:numFmt w:val="decimal"/>
        <w:lvlText w:val="%1."/>
        <w:lvlJc w:val="left"/>
        <w:pPr>
          <w:tabs>
            <w:tab w:val="num" w:pos="792"/>
          </w:tabs>
          <w:ind w:left="72"/>
        </w:pPr>
        <w:rPr>
          <w:snapToGrid/>
          <w:spacing w:val="-4"/>
          <w:sz w:val="25"/>
          <w:szCs w:val="25"/>
        </w:rPr>
      </w:lvl>
    </w:lvlOverride>
  </w:num>
  <w:num w:numId="20">
    <w:abstractNumId w:val="6"/>
  </w:num>
  <w:num w:numId="21">
    <w:abstractNumId w:val="4"/>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removePersonalInformation/>
  <w:removeDateAndTime/>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9E7"/>
    <w:rsid w:val="000530E6"/>
    <w:rsid w:val="0006484B"/>
    <w:rsid w:val="00072C5C"/>
    <w:rsid w:val="00080643"/>
    <w:rsid w:val="000A4586"/>
    <w:rsid w:val="000B251A"/>
    <w:rsid w:val="000E24B6"/>
    <w:rsid w:val="000E5DBE"/>
    <w:rsid w:val="00113E8A"/>
    <w:rsid w:val="001169CA"/>
    <w:rsid w:val="00160DCD"/>
    <w:rsid w:val="00161247"/>
    <w:rsid w:val="00171B96"/>
    <w:rsid w:val="001774A4"/>
    <w:rsid w:val="00186DC3"/>
    <w:rsid w:val="00194905"/>
    <w:rsid w:val="001D4F4B"/>
    <w:rsid w:val="001E360C"/>
    <w:rsid w:val="002003F5"/>
    <w:rsid w:val="00231199"/>
    <w:rsid w:val="00231EED"/>
    <w:rsid w:val="00237556"/>
    <w:rsid w:val="00252789"/>
    <w:rsid w:val="00255180"/>
    <w:rsid w:val="0026177C"/>
    <w:rsid w:val="00266F9F"/>
    <w:rsid w:val="00267901"/>
    <w:rsid w:val="00297EBA"/>
    <w:rsid w:val="003005DC"/>
    <w:rsid w:val="00312838"/>
    <w:rsid w:val="00336943"/>
    <w:rsid w:val="00353286"/>
    <w:rsid w:val="0036168D"/>
    <w:rsid w:val="003725E0"/>
    <w:rsid w:val="003729E5"/>
    <w:rsid w:val="00375CB6"/>
    <w:rsid w:val="003D78E3"/>
    <w:rsid w:val="0040394E"/>
    <w:rsid w:val="00433B5E"/>
    <w:rsid w:val="004366E9"/>
    <w:rsid w:val="004B08FE"/>
    <w:rsid w:val="004C5FB4"/>
    <w:rsid w:val="004E082A"/>
    <w:rsid w:val="004E3DF4"/>
    <w:rsid w:val="004F1A6D"/>
    <w:rsid w:val="004F69A8"/>
    <w:rsid w:val="00543E58"/>
    <w:rsid w:val="0059681D"/>
    <w:rsid w:val="005C3512"/>
    <w:rsid w:val="005C6856"/>
    <w:rsid w:val="005E449A"/>
    <w:rsid w:val="00612F03"/>
    <w:rsid w:val="0062202F"/>
    <w:rsid w:val="00626ABE"/>
    <w:rsid w:val="0065380A"/>
    <w:rsid w:val="00677B5E"/>
    <w:rsid w:val="00694C84"/>
    <w:rsid w:val="006B2199"/>
    <w:rsid w:val="006B638A"/>
    <w:rsid w:val="006D5144"/>
    <w:rsid w:val="006E6CD4"/>
    <w:rsid w:val="006F4297"/>
    <w:rsid w:val="00735911"/>
    <w:rsid w:val="00750CB2"/>
    <w:rsid w:val="007572FC"/>
    <w:rsid w:val="00770609"/>
    <w:rsid w:val="007A3321"/>
    <w:rsid w:val="0080046C"/>
    <w:rsid w:val="00836B3A"/>
    <w:rsid w:val="0085314A"/>
    <w:rsid w:val="0085692F"/>
    <w:rsid w:val="0087194A"/>
    <w:rsid w:val="008738BF"/>
    <w:rsid w:val="008A4E61"/>
    <w:rsid w:val="008D1576"/>
    <w:rsid w:val="008D1724"/>
    <w:rsid w:val="008F3DAA"/>
    <w:rsid w:val="00904783"/>
    <w:rsid w:val="009714EE"/>
    <w:rsid w:val="009727E0"/>
    <w:rsid w:val="00974205"/>
    <w:rsid w:val="009B013D"/>
    <w:rsid w:val="009B6671"/>
    <w:rsid w:val="009C1919"/>
    <w:rsid w:val="009E0B53"/>
    <w:rsid w:val="009E3C3F"/>
    <w:rsid w:val="009E6F88"/>
    <w:rsid w:val="00A0039C"/>
    <w:rsid w:val="00A035EA"/>
    <w:rsid w:val="00A03FE8"/>
    <w:rsid w:val="00A11D6F"/>
    <w:rsid w:val="00A253A6"/>
    <w:rsid w:val="00A40798"/>
    <w:rsid w:val="00A42CCD"/>
    <w:rsid w:val="00AB2716"/>
    <w:rsid w:val="00AB2CB2"/>
    <w:rsid w:val="00B201C5"/>
    <w:rsid w:val="00B22348"/>
    <w:rsid w:val="00B71CA8"/>
    <w:rsid w:val="00BC130B"/>
    <w:rsid w:val="00BC5320"/>
    <w:rsid w:val="00BF1069"/>
    <w:rsid w:val="00C54659"/>
    <w:rsid w:val="00C71462"/>
    <w:rsid w:val="00CA3076"/>
    <w:rsid w:val="00CA3419"/>
    <w:rsid w:val="00CC1874"/>
    <w:rsid w:val="00D03394"/>
    <w:rsid w:val="00D058D2"/>
    <w:rsid w:val="00D1503F"/>
    <w:rsid w:val="00D451DC"/>
    <w:rsid w:val="00D706B4"/>
    <w:rsid w:val="00D8725B"/>
    <w:rsid w:val="00DC3E65"/>
    <w:rsid w:val="00E21E9D"/>
    <w:rsid w:val="00E45786"/>
    <w:rsid w:val="00E54D1F"/>
    <w:rsid w:val="00E770DE"/>
    <w:rsid w:val="00E8166D"/>
    <w:rsid w:val="00E92A45"/>
    <w:rsid w:val="00E94670"/>
    <w:rsid w:val="00EB3FB6"/>
    <w:rsid w:val="00EB4E63"/>
    <w:rsid w:val="00ED04FC"/>
    <w:rsid w:val="00EE09E7"/>
    <w:rsid w:val="00EE5DDA"/>
    <w:rsid w:val="00EE72CF"/>
    <w:rsid w:val="00F136EE"/>
    <w:rsid w:val="00F17D38"/>
    <w:rsid w:val="00F319EA"/>
    <w:rsid w:val="00F7161F"/>
    <w:rsid w:val="00FA1E83"/>
    <w:rsid w:val="00FA358B"/>
    <w:rsid w:val="00FD579F"/>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6B638A"/>
    <w:pPr>
      <w:ind w:left="720"/>
      <w:contextualSpacing/>
    </w:pPr>
    <w:rPr>
      <w:rFonts w:cstheme="minorBidi"/>
      <w:szCs w:val="22"/>
    </w:rPr>
  </w:style>
  <w:style w:type="character" w:styleId="CommentReference">
    <w:name w:val="annotation reference"/>
    <w:basedOn w:val="DefaultParagraphFont"/>
    <w:semiHidden/>
    <w:rsid w:val="006B638A"/>
    <w:rPr>
      <w:sz w:val="16"/>
      <w:szCs w:val="16"/>
    </w:rPr>
  </w:style>
  <w:style w:type="paragraph" w:styleId="CommentText">
    <w:name w:val="annotation text"/>
    <w:basedOn w:val="Normal"/>
    <w:link w:val="CommentTextChar"/>
    <w:semiHidden/>
    <w:rsid w:val="006B638A"/>
    <w:rPr>
      <w:rFonts w:eastAsia="Times New Roman"/>
      <w:sz w:val="20"/>
      <w:szCs w:val="20"/>
    </w:rPr>
  </w:style>
  <w:style w:type="character" w:customStyle="1" w:styleId="CommentTextChar">
    <w:name w:val="Comment Text Char"/>
    <w:basedOn w:val="DefaultParagraphFont"/>
    <w:link w:val="CommentText"/>
    <w:semiHidden/>
    <w:rsid w:val="006B638A"/>
    <w:rPr>
      <w:rFonts w:eastAsia="Times New Roman"/>
      <w:sz w:val="20"/>
      <w:szCs w:val="20"/>
    </w:rPr>
  </w:style>
  <w:style w:type="paragraph" w:styleId="Index2">
    <w:name w:val="index 2"/>
    <w:basedOn w:val="Normal"/>
    <w:next w:val="Normal"/>
    <w:semiHidden/>
    <w:rsid w:val="00E770DE"/>
    <w:pPr>
      <w:tabs>
        <w:tab w:val="left" w:leader="dot" w:pos="9000"/>
        <w:tab w:val="right" w:pos="9360"/>
      </w:tabs>
      <w:suppressAutoHyphens/>
      <w:overflowPunct w:val="0"/>
      <w:autoSpaceDE w:val="0"/>
      <w:autoSpaceDN w:val="0"/>
      <w:adjustRightInd w:val="0"/>
      <w:ind w:left="720"/>
      <w:textAlignment w:val="baseline"/>
    </w:pPr>
    <w:rPr>
      <w:rFonts w:ascii="CG Times" w:eastAsia="Times New Roman" w:hAnsi="CG Times"/>
      <w:spacing w:val="-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CD6DD-8B79-459E-BE02-38FD7B5FE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2494</Words>
  <Characters>13101</Characters>
  <Application>Microsoft Office Word</Application>
  <DocSecurity>0</DocSecurity>
  <Lines>238</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2018-02-09T13:45:00Z</dcterms:created>
  <dcterms:modified xsi:type="dcterms:W3CDTF">2018-02-27T21:02:00Z</dcterms:modified>
</cp:coreProperties>
</file>